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71B16" w14:textId="77777777" w:rsidR="006D5DF1" w:rsidRPr="00444763" w:rsidRDefault="00444763" w:rsidP="00444763">
      <w:pPr>
        <w:pStyle w:val="NICCYHeading"/>
        <w:jc w:val="center"/>
      </w:pPr>
      <w:r w:rsidRPr="00444763">
        <w:t>Still Waiting- Implementation</w:t>
      </w:r>
    </w:p>
    <w:p w14:paraId="3486F608" w14:textId="4A6B9F82" w:rsidR="00444763" w:rsidRPr="00444763" w:rsidRDefault="00444763" w:rsidP="00444763">
      <w:pPr>
        <w:pStyle w:val="NICCYHeading"/>
        <w:jc w:val="center"/>
        <w:rPr>
          <w:sz w:val="32"/>
          <w:szCs w:val="32"/>
        </w:rPr>
      </w:pPr>
      <w:r w:rsidRPr="00444763">
        <w:rPr>
          <w:sz w:val="32"/>
          <w:szCs w:val="32"/>
        </w:rPr>
        <w:t xml:space="preserve">NICCY Progress Update Monitoring Report </w:t>
      </w:r>
      <w:r w:rsidR="00F53DA6">
        <w:rPr>
          <w:sz w:val="32"/>
          <w:szCs w:val="32"/>
        </w:rPr>
        <w:t xml:space="preserve">- </w:t>
      </w:r>
      <w:bookmarkStart w:id="0" w:name="_GoBack"/>
      <w:bookmarkEnd w:id="0"/>
      <w:r w:rsidRPr="00444763">
        <w:rPr>
          <w:sz w:val="32"/>
          <w:szCs w:val="32"/>
        </w:rPr>
        <w:t>Feb 2021</w:t>
      </w:r>
    </w:p>
    <w:p w14:paraId="38995EFB" w14:textId="77777777" w:rsidR="00DD6ACF" w:rsidRPr="00A32563" w:rsidRDefault="00DD6ACF" w:rsidP="00A32563">
      <w:pPr>
        <w:pStyle w:val="NICCYSubline"/>
      </w:pPr>
    </w:p>
    <w:p w14:paraId="6EDDA75C" w14:textId="77777777" w:rsidR="006D5DF1" w:rsidRPr="00936207" w:rsidRDefault="006D5DF1" w:rsidP="006D5DF1">
      <w:pPr>
        <w:pStyle w:val="NICCYSubTitle"/>
        <w:rPr>
          <w:sz w:val="28"/>
          <w:szCs w:val="28"/>
        </w:rPr>
      </w:pPr>
      <w:r w:rsidRPr="00936207">
        <w:rPr>
          <w:sz w:val="28"/>
          <w:szCs w:val="28"/>
        </w:rPr>
        <w:t>Introduction</w:t>
      </w:r>
    </w:p>
    <w:p w14:paraId="486A6F01" w14:textId="77777777" w:rsidR="006D5DF1" w:rsidRDefault="006D5DF1" w:rsidP="006D5DF1">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r>
        <w:rPr>
          <w:rFonts w:ascii="Arial" w:hAnsi="Arial" w:cs="Arial"/>
          <w:color w:val="404040" w:themeColor="text1" w:themeTint="BF"/>
          <w:sz w:val="24"/>
          <w:szCs w:val="24"/>
          <w:lang w:eastAsia="en-GB"/>
        </w:rPr>
        <w:t xml:space="preserve">The Northern Ireland Commissioner for Children and Young People (NICCY) was established under the Commissioner for Children and Young People (NI) Order 2003 with a principal aim to safeguard and promote the rights and best interests of children and young people in Northern Ireland (NI). In exercising her functions, the Commissioner must have regard to all provisions of the United Nations Convention on the Rights of the Child (UNCRC). </w:t>
      </w:r>
    </w:p>
    <w:p w14:paraId="3631597F" w14:textId="77777777" w:rsidR="006D5DF1" w:rsidRDefault="006D5DF1" w:rsidP="006D5DF1">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p>
    <w:p w14:paraId="1E4338B4" w14:textId="77777777" w:rsidR="006D5DF1" w:rsidRDefault="006D5DF1" w:rsidP="006D5DF1">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r>
        <w:rPr>
          <w:rFonts w:ascii="Arial" w:hAnsi="Arial" w:cs="Arial"/>
          <w:color w:val="404040" w:themeColor="text1" w:themeTint="BF"/>
          <w:sz w:val="24"/>
          <w:szCs w:val="24"/>
          <w:lang w:eastAsia="en-GB"/>
        </w:rPr>
        <w:t xml:space="preserve">In September 2018, NICCY published a Rights Based </w:t>
      </w:r>
      <w:r w:rsidR="00AF6C9C">
        <w:rPr>
          <w:rFonts w:ascii="Arial" w:hAnsi="Arial" w:cs="Arial"/>
          <w:color w:val="404040" w:themeColor="text1" w:themeTint="BF"/>
          <w:sz w:val="24"/>
          <w:szCs w:val="24"/>
          <w:lang w:eastAsia="en-GB"/>
        </w:rPr>
        <w:t xml:space="preserve">Review of </w:t>
      </w:r>
      <w:r>
        <w:rPr>
          <w:rFonts w:ascii="Arial" w:hAnsi="Arial" w:cs="Arial"/>
          <w:color w:val="404040" w:themeColor="text1" w:themeTint="BF"/>
          <w:sz w:val="24"/>
          <w:szCs w:val="24"/>
          <w:lang w:eastAsia="en-GB"/>
        </w:rPr>
        <w:t>Mental Health</w:t>
      </w:r>
      <w:r w:rsidR="00AF6C9C">
        <w:rPr>
          <w:rFonts w:ascii="Arial" w:hAnsi="Arial" w:cs="Arial"/>
          <w:color w:val="404040" w:themeColor="text1" w:themeTint="BF"/>
          <w:sz w:val="24"/>
          <w:szCs w:val="24"/>
          <w:lang w:eastAsia="en-GB"/>
        </w:rPr>
        <w:t xml:space="preserve"> Services and Support for Children and Young People</w:t>
      </w:r>
      <w:r>
        <w:rPr>
          <w:rFonts w:ascii="Arial" w:hAnsi="Arial" w:cs="Arial"/>
          <w:color w:val="404040" w:themeColor="text1" w:themeTint="BF"/>
          <w:sz w:val="24"/>
          <w:szCs w:val="24"/>
          <w:lang w:eastAsia="en-GB"/>
        </w:rPr>
        <w:t xml:space="preserve"> - </w:t>
      </w:r>
      <w:r w:rsidRPr="00DA4EBB">
        <w:rPr>
          <w:rFonts w:ascii="Arial" w:hAnsi="Arial" w:cs="Arial"/>
          <w:b/>
          <w:i/>
          <w:color w:val="404040" w:themeColor="text1" w:themeTint="BF"/>
          <w:sz w:val="24"/>
          <w:szCs w:val="24"/>
          <w:lang w:eastAsia="en-GB"/>
        </w:rPr>
        <w:t>‘Still Waiting’</w:t>
      </w:r>
      <w:r w:rsidR="00AF6C9C" w:rsidRPr="00AF6C9C">
        <w:rPr>
          <w:rFonts w:ascii="Arial" w:hAnsi="Arial" w:cs="Arial"/>
          <w:i/>
          <w:color w:val="404040" w:themeColor="text1" w:themeTint="BF"/>
          <w:sz w:val="24"/>
          <w:szCs w:val="24"/>
          <w:lang w:eastAsia="en-GB"/>
        </w:rPr>
        <w:t>,</w:t>
      </w:r>
      <w:r w:rsidR="00AF6C9C">
        <w:rPr>
          <w:rStyle w:val="FootnoteReference"/>
          <w:rFonts w:ascii="Arial" w:hAnsi="Arial" w:cs="Arial"/>
          <w:i/>
          <w:color w:val="404040" w:themeColor="text1" w:themeTint="BF"/>
          <w:sz w:val="24"/>
          <w:szCs w:val="24"/>
          <w:lang w:eastAsia="en-GB"/>
        </w:rPr>
        <w:footnoteReference w:id="1"/>
      </w:r>
      <w:r>
        <w:rPr>
          <w:rFonts w:ascii="Arial" w:hAnsi="Arial" w:cs="Arial"/>
          <w:color w:val="404040" w:themeColor="text1" w:themeTint="BF"/>
          <w:sz w:val="24"/>
          <w:szCs w:val="24"/>
          <w:lang w:eastAsia="en-GB"/>
        </w:rPr>
        <w:t xml:space="preserve"> this report was produced in accordance with the powers and functions s</w:t>
      </w:r>
      <w:r w:rsidR="005E3A4E">
        <w:rPr>
          <w:rFonts w:ascii="Arial" w:hAnsi="Arial" w:cs="Arial"/>
          <w:color w:val="404040" w:themeColor="text1" w:themeTint="BF"/>
          <w:sz w:val="24"/>
          <w:szCs w:val="24"/>
          <w:lang w:eastAsia="en-GB"/>
        </w:rPr>
        <w:t>et out in the NICCY Order. This</w:t>
      </w:r>
      <w:r w:rsidR="005F2BFA">
        <w:rPr>
          <w:rFonts w:ascii="Arial" w:hAnsi="Arial" w:cs="Arial"/>
          <w:color w:val="404040" w:themeColor="text1" w:themeTint="BF"/>
          <w:sz w:val="24"/>
          <w:szCs w:val="24"/>
          <w:lang w:eastAsia="en-GB"/>
        </w:rPr>
        <w:t xml:space="preserve"> includes</w:t>
      </w:r>
      <w:r>
        <w:rPr>
          <w:rFonts w:ascii="Arial" w:hAnsi="Arial" w:cs="Arial"/>
          <w:color w:val="404040" w:themeColor="text1" w:themeTint="BF"/>
          <w:sz w:val="24"/>
          <w:szCs w:val="24"/>
          <w:lang w:eastAsia="en-GB"/>
        </w:rPr>
        <w:t xml:space="preserve"> duties to keep under review the adequacy and effectiveness of law, practice and services provided for children and young people by relevant authorities; to advise Government and relevant authorities; and to encourage children and young people and their parents / carers to communicate with the Commissioner. </w:t>
      </w:r>
    </w:p>
    <w:p w14:paraId="13E30385" w14:textId="77777777" w:rsidR="006D5DF1" w:rsidRDefault="006D5DF1" w:rsidP="006D5DF1">
      <w:pPr>
        <w:widowControl w:val="0"/>
        <w:autoSpaceDE w:val="0"/>
        <w:autoSpaceDN w:val="0"/>
        <w:adjustRightInd w:val="0"/>
        <w:spacing w:line="276" w:lineRule="auto"/>
        <w:ind w:right="-7"/>
        <w:textAlignment w:val="center"/>
      </w:pPr>
    </w:p>
    <w:p w14:paraId="070ACCA7" w14:textId="77777777" w:rsidR="006D5DF1" w:rsidRDefault="006D5DF1" w:rsidP="006D5DF1">
      <w:pPr>
        <w:pStyle w:val="BasicParagraph"/>
        <w:spacing w:line="276" w:lineRule="auto"/>
        <w:rPr>
          <w:rFonts w:ascii="Arial" w:hAnsi="Arial" w:cs="Arial"/>
          <w:color w:val="414042"/>
        </w:rPr>
      </w:pPr>
    </w:p>
    <w:p w14:paraId="4459D326" w14:textId="77777777" w:rsidR="006D5DF1" w:rsidRPr="00936207" w:rsidRDefault="006D5DF1" w:rsidP="006D5DF1">
      <w:pPr>
        <w:pStyle w:val="NICCYSubTitle"/>
        <w:rPr>
          <w:sz w:val="28"/>
          <w:szCs w:val="28"/>
        </w:rPr>
      </w:pPr>
      <w:r w:rsidRPr="00936207">
        <w:rPr>
          <w:sz w:val="28"/>
          <w:szCs w:val="28"/>
        </w:rPr>
        <w:t xml:space="preserve">Implementation of ‘Still Waiting’ Recommendations </w:t>
      </w:r>
    </w:p>
    <w:p w14:paraId="45062049" w14:textId="77777777" w:rsidR="006D5DF1" w:rsidRDefault="005E3A4E" w:rsidP="006D5DF1">
      <w:pPr>
        <w:pStyle w:val="BasicParagraph"/>
        <w:spacing w:line="276" w:lineRule="auto"/>
        <w:rPr>
          <w:rFonts w:ascii="Arial" w:hAnsi="Arial" w:cs="Arial"/>
          <w:color w:val="414042"/>
        </w:rPr>
      </w:pPr>
      <w:r>
        <w:rPr>
          <w:rFonts w:ascii="Arial" w:hAnsi="Arial" w:cs="Arial"/>
          <w:color w:val="414042"/>
        </w:rPr>
        <w:t>The</w:t>
      </w:r>
      <w:r w:rsidR="006D5DF1">
        <w:rPr>
          <w:rFonts w:ascii="Arial" w:hAnsi="Arial" w:cs="Arial"/>
          <w:color w:val="414042"/>
        </w:rPr>
        <w:t xml:space="preserve"> Report</w:t>
      </w:r>
      <w:r w:rsidR="006D5DF1" w:rsidRPr="002462C4">
        <w:rPr>
          <w:rFonts w:ascii="Arial" w:hAnsi="Arial" w:cs="Arial"/>
          <w:color w:val="414042"/>
        </w:rPr>
        <w:t xml:space="preserve"> </w:t>
      </w:r>
      <w:r>
        <w:rPr>
          <w:rFonts w:ascii="Arial" w:hAnsi="Arial" w:cs="Arial"/>
          <w:color w:val="414042"/>
        </w:rPr>
        <w:t>contained</w:t>
      </w:r>
      <w:r w:rsidR="006D5DF1" w:rsidRPr="002462C4">
        <w:rPr>
          <w:rFonts w:ascii="Arial" w:hAnsi="Arial" w:cs="Arial"/>
          <w:color w:val="414042"/>
        </w:rPr>
        <w:t xml:space="preserve"> 50 recommendations </w:t>
      </w:r>
      <w:r>
        <w:rPr>
          <w:rFonts w:ascii="Arial" w:hAnsi="Arial" w:cs="Arial"/>
          <w:color w:val="414042"/>
        </w:rPr>
        <w:t>across 8 thematic areas,</w:t>
      </w:r>
      <w:r w:rsidR="006D5DF1">
        <w:rPr>
          <w:rFonts w:ascii="Arial" w:hAnsi="Arial" w:cs="Arial"/>
          <w:color w:val="414042"/>
        </w:rPr>
        <w:t xml:space="preserve"> as outlined below</w:t>
      </w:r>
      <w:r w:rsidR="006D5DF1" w:rsidRPr="002462C4">
        <w:rPr>
          <w:rFonts w:ascii="Arial" w:hAnsi="Arial" w:cs="Arial"/>
          <w:color w:val="414042"/>
        </w:rPr>
        <w:t xml:space="preserve">. </w:t>
      </w:r>
    </w:p>
    <w:p w14:paraId="1711754D" w14:textId="77777777" w:rsidR="006D5DF1" w:rsidRDefault="006D5DF1" w:rsidP="006D5DF1">
      <w:pPr>
        <w:pStyle w:val="BasicParagraph"/>
        <w:spacing w:line="276" w:lineRule="auto"/>
        <w:rPr>
          <w:rFonts w:ascii="Arial" w:hAnsi="Arial" w:cs="Arial"/>
          <w:color w:val="414042"/>
        </w:rPr>
      </w:pPr>
    </w:p>
    <w:tbl>
      <w:tblPr>
        <w:tblStyle w:val="TableGrid"/>
        <w:tblW w:w="0" w:type="auto"/>
        <w:tblInd w:w="-10" w:type="dxa"/>
        <w:tblBorders>
          <w:top w:val="single" w:sz="8" w:space="0" w:color="23A4DE"/>
          <w:left w:val="single" w:sz="8" w:space="0" w:color="23A4DE"/>
          <w:bottom w:val="single" w:sz="8" w:space="0" w:color="23A4DE"/>
          <w:right w:val="single" w:sz="8" w:space="0" w:color="23A4DE"/>
          <w:insideH w:val="single" w:sz="8" w:space="0" w:color="23A4DE"/>
          <w:insideV w:val="single" w:sz="8" w:space="0" w:color="23A4DE"/>
        </w:tblBorders>
        <w:tblLook w:val="04A0" w:firstRow="1" w:lastRow="0" w:firstColumn="1" w:lastColumn="0" w:noHBand="0" w:noVBand="1"/>
      </w:tblPr>
      <w:tblGrid>
        <w:gridCol w:w="4678"/>
        <w:gridCol w:w="4944"/>
      </w:tblGrid>
      <w:tr w:rsidR="006D5DF1" w:rsidRPr="00464256" w14:paraId="3FF5ED00" w14:textId="77777777" w:rsidTr="006232CD">
        <w:tc>
          <w:tcPr>
            <w:tcW w:w="4678" w:type="dxa"/>
          </w:tcPr>
          <w:p w14:paraId="13CDCA37" w14:textId="77777777" w:rsidR="006D5DF1" w:rsidRPr="00464256" w:rsidRDefault="006D5DF1" w:rsidP="006D5DF1">
            <w:pPr>
              <w:pStyle w:val="BasicParagraph"/>
              <w:numPr>
                <w:ilvl w:val="0"/>
                <w:numId w:val="18"/>
              </w:numPr>
              <w:spacing w:line="276" w:lineRule="auto"/>
              <w:rPr>
                <w:rFonts w:ascii="Arial" w:hAnsi="Arial" w:cs="Arial"/>
                <w:color w:val="414042"/>
              </w:rPr>
            </w:pPr>
            <w:r>
              <w:rPr>
                <w:rFonts w:ascii="Arial" w:hAnsi="Arial" w:cs="Arial"/>
                <w:color w:val="414042"/>
              </w:rPr>
              <w:t>Working Effectively</w:t>
            </w:r>
          </w:p>
        </w:tc>
        <w:tc>
          <w:tcPr>
            <w:tcW w:w="4944" w:type="dxa"/>
          </w:tcPr>
          <w:p w14:paraId="58D35F25" w14:textId="77777777" w:rsidR="006D5DF1" w:rsidRPr="00464256" w:rsidRDefault="006D5DF1" w:rsidP="006232CD">
            <w:pPr>
              <w:pStyle w:val="BasicParagraph"/>
              <w:spacing w:line="276" w:lineRule="auto"/>
              <w:ind w:left="360"/>
              <w:rPr>
                <w:rFonts w:ascii="Arial" w:hAnsi="Arial" w:cs="Arial"/>
                <w:color w:val="414042"/>
              </w:rPr>
            </w:pPr>
            <w:r>
              <w:rPr>
                <w:rFonts w:ascii="Arial" w:hAnsi="Arial" w:cs="Arial"/>
                <w:color w:val="414042"/>
              </w:rPr>
              <w:t xml:space="preserve">5. </w:t>
            </w:r>
            <w:r w:rsidRPr="00464256">
              <w:rPr>
                <w:rFonts w:ascii="Arial" w:hAnsi="Arial" w:cs="Arial"/>
                <w:color w:val="414042"/>
              </w:rPr>
              <w:t>Movi</w:t>
            </w:r>
            <w:r>
              <w:rPr>
                <w:rFonts w:ascii="Arial" w:hAnsi="Arial" w:cs="Arial"/>
                <w:color w:val="414042"/>
              </w:rPr>
              <w:t>ng from Child to Adult Services</w:t>
            </w:r>
          </w:p>
        </w:tc>
      </w:tr>
      <w:tr w:rsidR="006D5DF1" w:rsidRPr="00464256" w14:paraId="5692C1C8" w14:textId="77777777" w:rsidTr="006232CD">
        <w:tc>
          <w:tcPr>
            <w:tcW w:w="4678" w:type="dxa"/>
          </w:tcPr>
          <w:p w14:paraId="5891FBAE" w14:textId="77777777" w:rsidR="006D5DF1" w:rsidRPr="00464256" w:rsidRDefault="006D5DF1" w:rsidP="006D5DF1">
            <w:pPr>
              <w:pStyle w:val="BasicParagraph"/>
              <w:numPr>
                <w:ilvl w:val="0"/>
                <w:numId w:val="18"/>
              </w:numPr>
              <w:spacing w:line="276" w:lineRule="auto"/>
              <w:rPr>
                <w:rFonts w:ascii="Arial" w:hAnsi="Arial" w:cs="Arial"/>
                <w:color w:val="414042"/>
              </w:rPr>
            </w:pPr>
            <w:r>
              <w:rPr>
                <w:rFonts w:ascii="Arial" w:hAnsi="Arial" w:cs="Arial"/>
                <w:color w:val="414042"/>
              </w:rPr>
              <w:t>Accessing Help</w:t>
            </w:r>
          </w:p>
        </w:tc>
        <w:tc>
          <w:tcPr>
            <w:tcW w:w="4944" w:type="dxa"/>
          </w:tcPr>
          <w:p w14:paraId="73712484" w14:textId="77777777" w:rsidR="006D5DF1" w:rsidRPr="00464256" w:rsidRDefault="006D5DF1" w:rsidP="006232CD">
            <w:pPr>
              <w:pStyle w:val="BasicParagraph"/>
              <w:spacing w:line="276" w:lineRule="auto"/>
              <w:ind w:left="360"/>
              <w:rPr>
                <w:rFonts w:ascii="Arial" w:hAnsi="Arial" w:cs="Arial"/>
                <w:color w:val="414042"/>
              </w:rPr>
            </w:pPr>
            <w:r>
              <w:rPr>
                <w:rFonts w:ascii="Arial" w:hAnsi="Arial" w:cs="Arial"/>
                <w:color w:val="414042"/>
              </w:rPr>
              <w:t>6. Flexible Treatment Options</w:t>
            </w:r>
          </w:p>
        </w:tc>
      </w:tr>
      <w:tr w:rsidR="006D5DF1" w:rsidRPr="00464256" w14:paraId="7D5AEAE5" w14:textId="77777777" w:rsidTr="006232CD">
        <w:tc>
          <w:tcPr>
            <w:tcW w:w="4678" w:type="dxa"/>
          </w:tcPr>
          <w:p w14:paraId="5720E9CD" w14:textId="77777777" w:rsidR="006D5DF1" w:rsidRPr="00464256" w:rsidRDefault="006D5DF1" w:rsidP="006D5DF1">
            <w:pPr>
              <w:pStyle w:val="BasicParagraph"/>
              <w:numPr>
                <w:ilvl w:val="0"/>
                <w:numId w:val="18"/>
              </w:numPr>
              <w:spacing w:line="276" w:lineRule="auto"/>
              <w:rPr>
                <w:rFonts w:ascii="Arial" w:hAnsi="Arial" w:cs="Arial"/>
                <w:color w:val="414042"/>
              </w:rPr>
            </w:pPr>
            <w:r>
              <w:rPr>
                <w:rFonts w:ascii="Arial" w:hAnsi="Arial" w:cs="Arial"/>
                <w:color w:val="414042"/>
              </w:rPr>
              <w:t>Support for A</w:t>
            </w:r>
            <w:r w:rsidRPr="00464256">
              <w:rPr>
                <w:rFonts w:ascii="Arial" w:hAnsi="Arial" w:cs="Arial"/>
                <w:color w:val="414042"/>
              </w:rPr>
              <w:t>dults working</w:t>
            </w:r>
            <w:r>
              <w:rPr>
                <w:rFonts w:ascii="Arial" w:hAnsi="Arial" w:cs="Arial"/>
                <w:color w:val="414042"/>
              </w:rPr>
              <w:t xml:space="preserve"> with Children and Young People</w:t>
            </w:r>
          </w:p>
        </w:tc>
        <w:tc>
          <w:tcPr>
            <w:tcW w:w="4944" w:type="dxa"/>
          </w:tcPr>
          <w:p w14:paraId="24B636A4" w14:textId="77777777" w:rsidR="006D5DF1" w:rsidRPr="00464256" w:rsidRDefault="006D5DF1" w:rsidP="006232CD">
            <w:pPr>
              <w:pStyle w:val="BasicParagraph"/>
              <w:spacing w:line="276" w:lineRule="auto"/>
              <w:ind w:left="360"/>
              <w:rPr>
                <w:rFonts w:ascii="Arial" w:hAnsi="Arial" w:cs="Arial"/>
                <w:color w:val="414042"/>
              </w:rPr>
            </w:pPr>
            <w:r>
              <w:rPr>
                <w:rFonts w:ascii="Arial" w:hAnsi="Arial" w:cs="Arial"/>
                <w:color w:val="414042"/>
              </w:rPr>
              <w:t xml:space="preserve">7. </w:t>
            </w:r>
            <w:r w:rsidRPr="00464256">
              <w:rPr>
                <w:rFonts w:ascii="Arial" w:hAnsi="Arial" w:cs="Arial"/>
                <w:color w:val="414042"/>
              </w:rPr>
              <w:t>Men</w:t>
            </w:r>
            <w:r>
              <w:rPr>
                <w:rFonts w:ascii="Arial" w:hAnsi="Arial" w:cs="Arial"/>
                <w:color w:val="414042"/>
              </w:rPr>
              <w:t>tal Health Awareness &amp; Literacy</w:t>
            </w:r>
          </w:p>
        </w:tc>
      </w:tr>
      <w:tr w:rsidR="006D5DF1" w:rsidRPr="00464256" w14:paraId="3FB114B1" w14:textId="77777777" w:rsidTr="006232CD">
        <w:tc>
          <w:tcPr>
            <w:tcW w:w="4678" w:type="dxa"/>
          </w:tcPr>
          <w:p w14:paraId="23F251AC" w14:textId="77777777" w:rsidR="006D5DF1" w:rsidRPr="00464256" w:rsidRDefault="006D5DF1" w:rsidP="006D5DF1">
            <w:pPr>
              <w:pStyle w:val="BasicParagraph"/>
              <w:numPr>
                <w:ilvl w:val="0"/>
                <w:numId w:val="18"/>
              </w:numPr>
              <w:spacing w:line="276" w:lineRule="auto"/>
              <w:rPr>
                <w:rFonts w:ascii="Arial" w:hAnsi="Arial" w:cs="Arial"/>
                <w:color w:val="414042"/>
              </w:rPr>
            </w:pPr>
            <w:r>
              <w:rPr>
                <w:rFonts w:ascii="Arial" w:hAnsi="Arial" w:cs="Arial"/>
                <w:color w:val="414042"/>
              </w:rPr>
              <w:t>Specialist Support</w:t>
            </w:r>
          </w:p>
        </w:tc>
        <w:tc>
          <w:tcPr>
            <w:tcW w:w="4944" w:type="dxa"/>
          </w:tcPr>
          <w:p w14:paraId="2233FE57" w14:textId="77777777" w:rsidR="006D5DF1" w:rsidRPr="00464256" w:rsidRDefault="006D5DF1" w:rsidP="006232CD">
            <w:pPr>
              <w:pStyle w:val="BasicParagraph"/>
              <w:spacing w:line="276" w:lineRule="auto"/>
              <w:ind w:left="360"/>
              <w:rPr>
                <w:rFonts w:ascii="Arial" w:hAnsi="Arial" w:cs="Arial"/>
                <w:color w:val="414042"/>
              </w:rPr>
            </w:pPr>
            <w:r>
              <w:rPr>
                <w:rFonts w:ascii="Arial" w:hAnsi="Arial" w:cs="Arial"/>
                <w:color w:val="414042"/>
              </w:rPr>
              <w:t xml:space="preserve">8. </w:t>
            </w:r>
            <w:r w:rsidRPr="00464256">
              <w:rPr>
                <w:rFonts w:ascii="Arial" w:hAnsi="Arial" w:cs="Arial"/>
                <w:color w:val="414042"/>
              </w:rPr>
              <w:t>Yo</w:t>
            </w:r>
            <w:r>
              <w:rPr>
                <w:rFonts w:ascii="Arial" w:hAnsi="Arial" w:cs="Arial"/>
                <w:color w:val="414042"/>
              </w:rPr>
              <w:t xml:space="preserve">ung People with Additional Needs </w:t>
            </w:r>
          </w:p>
        </w:tc>
      </w:tr>
    </w:tbl>
    <w:p w14:paraId="07738FEA" w14:textId="77777777" w:rsidR="006D5DF1" w:rsidRPr="00196B35" w:rsidRDefault="006D5DF1" w:rsidP="006D5DF1">
      <w:pPr>
        <w:pStyle w:val="NICCYSubline"/>
        <w:spacing w:line="276" w:lineRule="auto"/>
      </w:pPr>
      <w:r>
        <w:t xml:space="preserve"> </w:t>
      </w:r>
    </w:p>
    <w:p w14:paraId="7764ADAA" w14:textId="77777777" w:rsidR="006D5DF1" w:rsidRDefault="006D5DF1" w:rsidP="006D5DF1">
      <w:pPr>
        <w:pStyle w:val="NICCYSubTitle"/>
      </w:pPr>
    </w:p>
    <w:p w14:paraId="6C6752A8" w14:textId="2AE9E5CC" w:rsidR="00921BED" w:rsidRDefault="005E3A4E" w:rsidP="005E3A4E">
      <w:pPr>
        <w:pStyle w:val="NICCYBodyTest"/>
      </w:pPr>
      <w:r>
        <w:t xml:space="preserve">An Inter-Departmental Group (IDG) Chaired by the </w:t>
      </w:r>
      <w:r w:rsidR="005C3C74">
        <w:t>Department of</w:t>
      </w:r>
      <w:r>
        <w:t xml:space="preserve"> Health and involving representatives from the Departments for Education, Justice and Communities, along with members of the Voluntary and Community Sector was established to publish an action plan and be responsible for the impleme</w:t>
      </w:r>
      <w:r w:rsidR="00A87D1B">
        <w:t>ntation of the recommendations (SWAP).</w:t>
      </w:r>
    </w:p>
    <w:p w14:paraId="52DAF9A1" w14:textId="77777777" w:rsidR="00921BED" w:rsidRPr="00936207" w:rsidRDefault="00921BED" w:rsidP="006E404C">
      <w:pPr>
        <w:pStyle w:val="NICCYSubTitle"/>
        <w:rPr>
          <w:sz w:val="28"/>
          <w:szCs w:val="28"/>
        </w:rPr>
      </w:pPr>
      <w:r w:rsidRPr="00936207">
        <w:rPr>
          <w:sz w:val="28"/>
          <w:szCs w:val="28"/>
        </w:rPr>
        <w:lastRenderedPageBreak/>
        <w:t xml:space="preserve">Progress Reporting and Monitoring </w:t>
      </w:r>
    </w:p>
    <w:p w14:paraId="35A78668" w14:textId="77777777" w:rsidR="00AF26E8" w:rsidRDefault="00921BED" w:rsidP="00AF26E8">
      <w:pPr>
        <w:pStyle w:val="NICCYBodyTest"/>
      </w:pPr>
      <w:r>
        <w:t xml:space="preserve">The IDG have </w:t>
      </w:r>
      <w:r w:rsidR="00AF26E8">
        <w:t>published two</w:t>
      </w:r>
      <w:r>
        <w:t xml:space="preserve"> annual progress report</w:t>
      </w:r>
      <w:r w:rsidR="00AF26E8">
        <w:t>s which outline</w:t>
      </w:r>
      <w:r>
        <w:t xml:space="preserve"> steps taken to implement </w:t>
      </w:r>
      <w:r w:rsidR="00077312">
        <w:t>each action</w:t>
      </w:r>
      <w:r w:rsidR="00A024FA">
        <w:t xml:space="preserve"> from the </w:t>
      </w:r>
      <w:r w:rsidR="00AF26E8">
        <w:t>Still Waiting Action</w:t>
      </w:r>
      <w:r w:rsidR="00A024FA">
        <w:t xml:space="preserve"> plan.</w:t>
      </w:r>
      <w:r w:rsidR="00AF26E8">
        <w:t xml:space="preserve"> Their most recent progress update report was published for the year 2019/20</w:t>
      </w:r>
      <w:r w:rsidR="00A024FA">
        <w:t xml:space="preserve"> </w:t>
      </w:r>
    </w:p>
    <w:p w14:paraId="76DC135A" w14:textId="77777777" w:rsidR="00AF26E8" w:rsidRDefault="00AF26E8" w:rsidP="00AF26E8">
      <w:pPr>
        <w:pStyle w:val="NICCYBodyTest"/>
      </w:pPr>
    </w:p>
    <w:p w14:paraId="73DF6026" w14:textId="75A0EB8E" w:rsidR="00AF26E8" w:rsidRDefault="00A024FA" w:rsidP="00AF26E8">
      <w:pPr>
        <w:pStyle w:val="NICCYBodyTest"/>
      </w:pPr>
      <w:r>
        <w:t>As a parallel process</w:t>
      </w:r>
      <w:r w:rsidR="005E3A4E">
        <w:t xml:space="preserve">, NICCY has committed to monitoring the implementation of the </w:t>
      </w:r>
      <w:r w:rsidR="00323B46">
        <w:t>‘</w:t>
      </w:r>
      <w:r w:rsidR="005E3A4E">
        <w:t>Still Waiting</w:t>
      </w:r>
      <w:r w:rsidR="00323B46">
        <w:t>’</w:t>
      </w:r>
      <w:r w:rsidR="00700B4E">
        <w:t xml:space="preserve"> r</w:t>
      </w:r>
      <w:r w:rsidR="005E3A4E">
        <w:t>ecommendations on an annual basis between 2020-2023.</w:t>
      </w:r>
      <w:r w:rsidR="005E3A4E">
        <w:rPr>
          <w:rStyle w:val="FootnoteReference"/>
        </w:rPr>
        <w:footnoteReference w:id="2"/>
      </w:r>
      <w:r w:rsidR="005E3A4E">
        <w:t xml:space="preserve">  This</w:t>
      </w:r>
      <w:r w:rsidR="002C058F">
        <w:t xml:space="preserve"> monitoring report</w:t>
      </w:r>
      <w:r w:rsidR="005E3A4E">
        <w:t xml:space="preserve"> is the second in a series of </w:t>
      </w:r>
      <w:r w:rsidR="00BF1F4D">
        <w:t>four</w:t>
      </w:r>
      <w:r w:rsidR="005E3A4E">
        <w:t xml:space="preserve"> reports that will be published </w:t>
      </w:r>
      <w:r w:rsidR="000251AE">
        <w:t xml:space="preserve">and </w:t>
      </w:r>
      <w:r w:rsidR="00AF26E8">
        <w:t xml:space="preserve">sets out an assessment on progress, since last year, </w:t>
      </w:r>
      <w:r w:rsidR="00021ACB">
        <w:t>in</w:t>
      </w:r>
      <w:r w:rsidR="00AF26E8">
        <w:t xml:space="preserve"> implement</w:t>
      </w:r>
      <w:r w:rsidR="00021ACB">
        <w:t>ing the</w:t>
      </w:r>
      <w:r w:rsidR="00AF26E8">
        <w:t xml:space="preserve"> recommendations from Still Waiting. Our assessment reflects on the impact of the pandemic and highlights where we are reiterating the same comments from last year’s monitoring report. We have also published a detailed</w:t>
      </w:r>
      <w:r w:rsidR="00AF26E8" w:rsidRPr="00AF26E8">
        <w:t xml:space="preserve"> response </w:t>
      </w:r>
      <w:r w:rsidR="00021ACB">
        <w:t>on</w:t>
      </w:r>
      <w:r w:rsidR="00AF26E8" w:rsidRPr="00AF26E8">
        <w:t xml:space="preserve"> progress against each of the individual actions in the Still Waiting Action Plan (SWAP) </w:t>
      </w:r>
      <w:r w:rsidR="00AF26E8">
        <w:t xml:space="preserve">and this document </w:t>
      </w:r>
      <w:r w:rsidR="00AF26E8" w:rsidRPr="00AF26E8">
        <w:t xml:space="preserve">is available from the ‘Still Waiting’ webpage on the NICCY website </w:t>
      </w:r>
      <w:hyperlink r:id="rId8" w:history="1">
        <w:r w:rsidR="00021ACB" w:rsidRPr="00937BFC">
          <w:rPr>
            <w:rStyle w:val="Hyperlink"/>
          </w:rPr>
          <w:t>www.niccy.org/StillWaiting</w:t>
        </w:r>
      </w:hyperlink>
      <w:r w:rsidR="00021ACB">
        <w:t xml:space="preserve"> </w:t>
      </w:r>
    </w:p>
    <w:p w14:paraId="5B7886C4" w14:textId="77777777" w:rsidR="002C058F" w:rsidRDefault="002C058F" w:rsidP="002C058F">
      <w:pPr>
        <w:pStyle w:val="NICCYBodyTest"/>
      </w:pPr>
    </w:p>
    <w:p w14:paraId="39D6FBDF" w14:textId="41B4C04B" w:rsidR="000251AE" w:rsidRDefault="002C058F" w:rsidP="000251AE">
      <w:pPr>
        <w:pStyle w:val="NICCYBodyTest"/>
      </w:pPr>
      <w:r>
        <w:t xml:space="preserve">Alongside the monitoring report, </w:t>
      </w:r>
      <w:r w:rsidR="005F2D67">
        <w:t xml:space="preserve">NICCY is also publishing a </w:t>
      </w:r>
      <w:r>
        <w:t>Mental Health</w:t>
      </w:r>
      <w:r w:rsidR="005F2D67">
        <w:t xml:space="preserve"> Data report which is </w:t>
      </w:r>
      <w:r>
        <w:t xml:space="preserve">largely </w:t>
      </w:r>
      <w:r w:rsidR="005F2D67">
        <w:t>a compilation of</w:t>
      </w:r>
      <w:r w:rsidR="005F2D67" w:rsidRPr="001029BD">
        <w:t xml:space="preserve"> </w:t>
      </w:r>
      <w:r w:rsidRPr="001029BD">
        <w:t xml:space="preserve">mental health </w:t>
      </w:r>
      <w:r>
        <w:t>service activity data</w:t>
      </w:r>
      <w:r w:rsidR="005F2D67" w:rsidRPr="001029BD">
        <w:t xml:space="preserve"> </w:t>
      </w:r>
      <w:r w:rsidR="005F2D67">
        <w:t xml:space="preserve">for the </w:t>
      </w:r>
      <w:r w:rsidR="005F2D67" w:rsidRPr="001029BD">
        <w:t>period 2013/14 -2019/2020</w:t>
      </w:r>
      <w:r>
        <w:t>.</w:t>
      </w:r>
      <w:r w:rsidR="006B6A27">
        <w:rPr>
          <w:rStyle w:val="FootnoteReference"/>
        </w:rPr>
        <w:footnoteReference w:id="3"/>
      </w:r>
      <w:r>
        <w:t xml:space="preserve"> M</w:t>
      </w:r>
      <w:r w:rsidR="005F2D67" w:rsidRPr="001029BD">
        <w:t xml:space="preserve">uch of </w:t>
      </w:r>
      <w:r w:rsidR="00021ACB">
        <w:t xml:space="preserve">the </w:t>
      </w:r>
      <w:r>
        <w:t>data contained in the report</w:t>
      </w:r>
      <w:r w:rsidR="005F2D67" w:rsidRPr="001029BD">
        <w:t xml:space="preserve"> is not in the public domain</w:t>
      </w:r>
      <w:r w:rsidR="005F2D67">
        <w:t xml:space="preserve"> and came from d</w:t>
      </w:r>
      <w:r w:rsidR="00B779C7">
        <w:t>ata requests made by NICCY to the HSCB, BSO and RQIA.</w:t>
      </w:r>
      <w:r>
        <w:t xml:space="preserve"> </w:t>
      </w:r>
      <w:r w:rsidR="000251AE">
        <w:t>We will refer to some key data from this report as we reflect on</w:t>
      </w:r>
      <w:r w:rsidR="00AF26E8">
        <w:t xml:space="preserve"> </w:t>
      </w:r>
      <w:r w:rsidR="000251AE">
        <w:t>services and support. This data does</w:t>
      </w:r>
      <w:r w:rsidR="00021ACB">
        <w:t xml:space="preserve"> </w:t>
      </w:r>
      <w:r w:rsidR="000251AE">
        <w:t>n</w:t>
      </w:r>
      <w:r w:rsidR="00021ACB">
        <w:t>o</w:t>
      </w:r>
      <w:r w:rsidR="000251AE">
        <w:t xml:space="preserve">t cover the part of the year most affected by Covid-19, however, </w:t>
      </w:r>
      <w:r w:rsidR="000251AE" w:rsidRPr="00F13E0C">
        <w:t xml:space="preserve">NICCY will also be publishing a </w:t>
      </w:r>
      <w:r w:rsidR="00BF1F4D">
        <w:t xml:space="preserve">comprehensive report on the impact of </w:t>
      </w:r>
      <w:proofErr w:type="spellStart"/>
      <w:r w:rsidR="00021ACB">
        <w:t>C</w:t>
      </w:r>
      <w:r w:rsidR="000251AE" w:rsidRPr="00F13E0C">
        <w:t>ovid</w:t>
      </w:r>
      <w:proofErr w:type="spellEnd"/>
      <w:r w:rsidR="000251AE" w:rsidRPr="00F13E0C">
        <w:t xml:space="preserve"> </w:t>
      </w:r>
      <w:r w:rsidR="00BF1F4D">
        <w:t>on children and young people later</w:t>
      </w:r>
      <w:r w:rsidR="000251AE" w:rsidRPr="00F13E0C">
        <w:t xml:space="preserve"> in 2021</w:t>
      </w:r>
      <w:r w:rsidR="00771CF5">
        <w:t>, which will</w:t>
      </w:r>
      <w:r w:rsidR="000251AE">
        <w:t xml:space="preserve"> </w:t>
      </w:r>
      <w:r w:rsidR="00021ACB">
        <w:t xml:space="preserve">include </w:t>
      </w:r>
      <w:r w:rsidR="000251AE">
        <w:t>the impact of the pandemic on children’s access to mental health services</w:t>
      </w:r>
      <w:r w:rsidR="000251AE" w:rsidRPr="00F13E0C">
        <w:t>.</w:t>
      </w:r>
      <w:r w:rsidR="000251AE">
        <w:t xml:space="preserve"> </w:t>
      </w:r>
    </w:p>
    <w:p w14:paraId="07897EB8" w14:textId="77777777" w:rsidR="002C058F" w:rsidRDefault="002C058F" w:rsidP="002C058F">
      <w:pPr>
        <w:pStyle w:val="NICCYBodyTest"/>
      </w:pPr>
    </w:p>
    <w:p w14:paraId="40CF111D" w14:textId="77777777" w:rsidR="006D5DF1" w:rsidRDefault="002C058F" w:rsidP="002C058F">
      <w:pPr>
        <w:pStyle w:val="NICCYBodyTest"/>
      </w:pPr>
      <w:r>
        <w:t xml:space="preserve">Views </w:t>
      </w:r>
      <w:r w:rsidR="00301B49">
        <w:t>on the</w:t>
      </w:r>
      <w:r>
        <w:t xml:space="preserve"> IDG</w:t>
      </w:r>
      <w:r w:rsidR="00301B49">
        <w:t xml:space="preserve"> 'Progress Update Report and Action Plan were sought </w:t>
      </w:r>
      <w:r w:rsidR="006D5DF1">
        <w:t xml:space="preserve">from </w:t>
      </w:r>
      <w:r w:rsidR="002C0CE2">
        <w:t xml:space="preserve">the NICCY </w:t>
      </w:r>
      <w:r w:rsidR="00301B49">
        <w:t>Youth Panel and their</w:t>
      </w:r>
      <w:r w:rsidR="006D5DF1">
        <w:t xml:space="preserve"> </w:t>
      </w:r>
      <w:r w:rsidR="00301B49">
        <w:t>input is</w:t>
      </w:r>
      <w:r w:rsidR="006D5DF1">
        <w:t xml:space="preserve"> </w:t>
      </w:r>
      <w:r w:rsidR="00301B49">
        <w:t xml:space="preserve">reflected </w:t>
      </w:r>
      <w:r w:rsidR="006D5DF1">
        <w:t xml:space="preserve">in this Report. </w:t>
      </w:r>
    </w:p>
    <w:p w14:paraId="62D06F2F" w14:textId="77777777" w:rsidR="00DD6ACF" w:rsidRDefault="00DD6ACF" w:rsidP="006D5DF1">
      <w:pPr>
        <w:spacing w:line="276" w:lineRule="auto"/>
        <w:ind w:right="-433"/>
        <w:rPr>
          <w:rFonts w:ascii="Arial" w:eastAsiaTheme="minorEastAsia" w:hAnsi="Arial" w:cs="Arial"/>
          <w:color w:val="414042"/>
          <w:sz w:val="24"/>
          <w:szCs w:val="24"/>
        </w:rPr>
      </w:pPr>
    </w:p>
    <w:p w14:paraId="71463C42" w14:textId="77777777" w:rsidR="00700B4E" w:rsidRPr="00936207" w:rsidRDefault="00700B4E" w:rsidP="00B0114A">
      <w:pPr>
        <w:pStyle w:val="NICCYSubTitle"/>
        <w:rPr>
          <w:sz w:val="28"/>
          <w:szCs w:val="28"/>
        </w:rPr>
      </w:pPr>
      <w:r w:rsidRPr="00936207">
        <w:rPr>
          <w:sz w:val="28"/>
          <w:szCs w:val="28"/>
        </w:rPr>
        <w:t>Assessment of Progress to Date</w:t>
      </w:r>
    </w:p>
    <w:p w14:paraId="62C83342" w14:textId="7720F713" w:rsidR="00953138" w:rsidRDefault="00953138" w:rsidP="00700B4E">
      <w:pPr>
        <w:spacing w:line="276" w:lineRule="auto"/>
        <w:ind w:right="-433"/>
        <w:rPr>
          <w:rFonts w:ascii="Arial" w:eastAsiaTheme="minorEastAsia" w:hAnsi="Arial" w:cs="Arial"/>
          <w:color w:val="414042"/>
          <w:sz w:val="24"/>
          <w:szCs w:val="24"/>
        </w:rPr>
      </w:pPr>
    </w:p>
    <w:p w14:paraId="46B384D2" w14:textId="29BB2B13" w:rsidR="00E403BC" w:rsidRDefault="00E403BC" w:rsidP="00700B4E">
      <w:pPr>
        <w:spacing w:line="276" w:lineRule="auto"/>
        <w:ind w:right="-433"/>
        <w:rPr>
          <w:rFonts w:ascii="Arial" w:eastAsiaTheme="minorEastAsia" w:hAnsi="Arial" w:cs="Arial"/>
          <w:color w:val="414042"/>
          <w:sz w:val="24"/>
          <w:szCs w:val="24"/>
        </w:rPr>
      </w:pPr>
    </w:p>
    <w:tbl>
      <w:tblPr>
        <w:tblStyle w:val="TableGrid"/>
        <w:tblW w:w="10343" w:type="dxa"/>
        <w:tblLook w:val="04A0" w:firstRow="1" w:lastRow="0" w:firstColumn="1" w:lastColumn="0" w:noHBand="0" w:noVBand="1"/>
      </w:tblPr>
      <w:tblGrid>
        <w:gridCol w:w="2689"/>
        <w:gridCol w:w="6237"/>
        <w:gridCol w:w="1417"/>
      </w:tblGrid>
      <w:tr w:rsidR="00892462" w14:paraId="007CA207" w14:textId="77777777" w:rsidTr="00221A5B">
        <w:tc>
          <w:tcPr>
            <w:tcW w:w="2689" w:type="dxa"/>
          </w:tcPr>
          <w:p w14:paraId="3431F8EC" w14:textId="5F775175" w:rsidR="00E403BC" w:rsidRDefault="00E403BC" w:rsidP="00700B4E">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Theme and objective</w:t>
            </w:r>
          </w:p>
        </w:tc>
        <w:tc>
          <w:tcPr>
            <w:tcW w:w="6237" w:type="dxa"/>
          </w:tcPr>
          <w:p w14:paraId="0B300B8F" w14:textId="481E4A73" w:rsidR="00E403BC" w:rsidRDefault="00E403BC" w:rsidP="00700B4E">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Action</w:t>
            </w:r>
          </w:p>
        </w:tc>
        <w:tc>
          <w:tcPr>
            <w:tcW w:w="1417" w:type="dxa"/>
          </w:tcPr>
          <w:p w14:paraId="4D383601" w14:textId="177955B1" w:rsidR="00E403BC" w:rsidRDefault="00E403BC" w:rsidP="00700B4E">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RAG status</w:t>
            </w:r>
          </w:p>
        </w:tc>
      </w:tr>
      <w:tr w:rsidR="00892462" w14:paraId="64B538A5" w14:textId="77777777" w:rsidTr="00F1278A">
        <w:tc>
          <w:tcPr>
            <w:tcW w:w="2689" w:type="dxa"/>
            <w:vMerge w:val="restart"/>
          </w:tcPr>
          <w:p w14:paraId="51F8B082" w14:textId="43A3B9C7" w:rsidR="00E403BC" w:rsidRPr="0096333F" w:rsidRDefault="00892462" w:rsidP="00892462">
            <w:pPr>
              <w:pStyle w:val="NICCYBodyText"/>
              <w:rPr>
                <w:b/>
                <w:color w:val="000000" w:themeColor="text1"/>
              </w:rPr>
            </w:pPr>
            <w:r w:rsidRPr="0096333F">
              <w:rPr>
                <w:b/>
                <w:color w:val="000000" w:themeColor="text1"/>
              </w:rPr>
              <w:t xml:space="preserve">1 Working Effectively </w:t>
            </w:r>
            <w:r w:rsidRPr="0096333F">
              <w:rPr>
                <w:b/>
                <w:color w:val="000000" w:themeColor="text1"/>
              </w:rPr>
              <w:lastRenderedPageBreak/>
              <w:t xml:space="preserve">and </w:t>
            </w:r>
            <w:r w:rsidR="00E403BC" w:rsidRPr="0096333F">
              <w:rPr>
                <w:b/>
                <w:color w:val="000000" w:themeColor="text1"/>
              </w:rPr>
              <w:t>Collaboratively</w:t>
            </w:r>
          </w:p>
          <w:p w14:paraId="48609BF7" w14:textId="58157489" w:rsidR="00E403BC" w:rsidRPr="0096333F" w:rsidRDefault="00E403BC" w:rsidP="00221A5B">
            <w:pPr>
              <w:pStyle w:val="NICCYBodyText"/>
              <w:rPr>
                <w:rFonts w:eastAsia="Times New Roman"/>
                <w:color w:val="000000" w:themeColor="text1"/>
              </w:rPr>
            </w:pPr>
            <w:r w:rsidRPr="0096333F">
              <w:rPr>
                <w:color w:val="000000" w:themeColor="text1"/>
              </w:rPr>
              <w:t>Clear governance structures for development of CAMHS</w:t>
            </w:r>
          </w:p>
        </w:tc>
        <w:tc>
          <w:tcPr>
            <w:tcW w:w="6237" w:type="dxa"/>
          </w:tcPr>
          <w:p w14:paraId="3144F86C" w14:textId="7ACE8DA3" w:rsidR="00E403BC" w:rsidRPr="0096333F" w:rsidRDefault="00E403BC" w:rsidP="00221A5B">
            <w:pPr>
              <w:pStyle w:val="NICCYBodyText"/>
              <w:rPr>
                <w:color w:val="000000" w:themeColor="text1"/>
              </w:rPr>
            </w:pPr>
            <w:r w:rsidRPr="0096333F">
              <w:rPr>
                <w:color w:val="000000" w:themeColor="text1"/>
              </w:rPr>
              <w:lastRenderedPageBreak/>
              <w:t xml:space="preserve">1.1 Establish an Inter-Departmental Project Board with </w:t>
            </w:r>
            <w:r w:rsidRPr="0096333F">
              <w:rPr>
                <w:color w:val="000000" w:themeColor="text1"/>
              </w:rPr>
              <w:lastRenderedPageBreak/>
              <w:t>cross sectoral representation to develop and implement an action plan in response to the NICCY Still Waiting Report recommendations, to include engagement with children and young people</w:t>
            </w:r>
          </w:p>
        </w:tc>
        <w:tc>
          <w:tcPr>
            <w:tcW w:w="1417" w:type="dxa"/>
            <w:shd w:val="clear" w:color="auto" w:fill="FFC000"/>
          </w:tcPr>
          <w:p w14:paraId="3DFB172F" w14:textId="77777777" w:rsidR="00E403BC" w:rsidRDefault="00E403BC" w:rsidP="00700B4E">
            <w:pPr>
              <w:spacing w:line="276" w:lineRule="auto"/>
              <w:ind w:right="-433"/>
              <w:rPr>
                <w:rFonts w:ascii="Arial" w:eastAsiaTheme="minorEastAsia" w:hAnsi="Arial" w:cs="Arial"/>
                <w:color w:val="414042"/>
                <w:sz w:val="24"/>
                <w:szCs w:val="24"/>
              </w:rPr>
            </w:pPr>
          </w:p>
        </w:tc>
      </w:tr>
      <w:tr w:rsidR="00892462" w14:paraId="20649EB7" w14:textId="77777777" w:rsidTr="00F1278A">
        <w:tc>
          <w:tcPr>
            <w:tcW w:w="2689" w:type="dxa"/>
            <w:vMerge/>
          </w:tcPr>
          <w:p w14:paraId="174AF23A" w14:textId="77777777" w:rsidR="00E403BC" w:rsidRPr="0096333F" w:rsidRDefault="00E403BC" w:rsidP="00221A5B">
            <w:pPr>
              <w:pStyle w:val="NICCYBodyText"/>
              <w:rPr>
                <w:color w:val="000000" w:themeColor="text1"/>
              </w:rPr>
            </w:pPr>
          </w:p>
        </w:tc>
        <w:tc>
          <w:tcPr>
            <w:tcW w:w="6237" w:type="dxa"/>
          </w:tcPr>
          <w:p w14:paraId="4D99E780" w14:textId="23F28DC0" w:rsidR="00E403BC" w:rsidRPr="0096333F" w:rsidRDefault="00E403BC" w:rsidP="00221A5B">
            <w:pPr>
              <w:pStyle w:val="NICCYBodyText"/>
              <w:rPr>
                <w:rFonts w:eastAsia="Times New Roman"/>
                <w:color w:val="000000" w:themeColor="text1"/>
                <w:szCs w:val="20"/>
              </w:rPr>
            </w:pPr>
            <w:r w:rsidRPr="0096333F">
              <w:rPr>
                <w:color w:val="000000" w:themeColor="text1"/>
              </w:rPr>
              <w:t>1.2 Create a fund map of spending in children and adolescent mental health and emotional wellbeing services.</w:t>
            </w:r>
          </w:p>
        </w:tc>
        <w:tc>
          <w:tcPr>
            <w:tcW w:w="1417" w:type="dxa"/>
            <w:shd w:val="clear" w:color="auto" w:fill="00B050"/>
          </w:tcPr>
          <w:p w14:paraId="245307F2" w14:textId="77777777" w:rsidR="00E403BC" w:rsidRDefault="00E403BC" w:rsidP="00700B4E">
            <w:pPr>
              <w:spacing w:line="276" w:lineRule="auto"/>
              <w:ind w:right="-433"/>
              <w:rPr>
                <w:rFonts w:ascii="Arial" w:eastAsiaTheme="minorEastAsia" w:hAnsi="Arial" w:cs="Arial"/>
                <w:color w:val="414042"/>
                <w:sz w:val="24"/>
                <w:szCs w:val="24"/>
              </w:rPr>
            </w:pPr>
          </w:p>
        </w:tc>
      </w:tr>
      <w:tr w:rsidR="00892462" w14:paraId="1520E638" w14:textId="77777777" w:rsidTr="00F1278A">
        <w:tc>
          <w:tcPr>
            <w:tcW w:w="2689" w:type="dxa"/>
            <w:vMerge/>
          </w:tcPr>
          <w:p w14:paraId="4F29971D" w14:textId="77777777" w:rsidR="00E403BC" w:rsidRPr="0096333F" w:rsidRDefault="00E403BC" w:rsidP="00221A5B">
            <w:pPr>
              <w:pStyle w:val="NICCYBodyText"/>
              <w:rPr>
                <w:color w:val="000000" w:themeColor="text1"/>
              </w:rPr>
            </w:pPr>
          </w:p>
        </w:tc>
        <w:tc>
          <w:tcPr>
            <w:tcW w:w="6237" w:type="dxa"/>
          </w:tcPr>
          <w:p w14:paraId="051C5434" w14:textId="44E22F27" w:rsidR="00E403BC" w:rsidRPr="0096333F" w:rsidRDefault="00E403BC" w:rsidP="00221A5B">
            <w:pPr>
              <w:pStyle w:val="NICCYBodyText"/>
              <w:rPr>
                <w:color w:val="000000" w:themeColor="text1"/>
              </w:rPr>
            </w:pPr>
            <w:r w:rsidRPr="0096333F">
              <w:rPr>
                <w:color w:val="000000" w:themeColor="text1"/>
              </w:rPr>
              <w:t>1.3 Increase funding for statutory CAMHS service.</w:t>
            </w:r>
          </w:p>
        </w:tc>
        <w:tc>
          <w:tcPr>
            <w:tcW w:w="1417" w:type="dxa"/>
            <w:shd w:val="clear" w:color="auto" w:fill="FFC000"/>
          </w:tcPr>
          <w:p w14:paraId="2AD6FFD2" w14:textId="77777777" w:rsidR="00E403BC" w:rsidRDefault="00E403BC" w:rsidP="00700B4E">
            <w:pPr>
              <w:spacing w:line="276" w:lineRule="auto"/>
              <w:ind w:right="-433"/>
              <w:rPr>
                <w:rFonts w:ascii="Arial" w:eastAsiaTheme="minorEastAsia" w:hAnsi="Arial" w:cs="Arial"/>
                <w:color w:val="414042"/>
                <w:sz w:val="24"/>
                <w:szCs w:val="24"/>
              </w:rPr>
            </w:pPr>
          </w:p>
        </w:tc>
      </w:tr>
      <w:tr w:rsidR="00892462" w14:paraId="56D31E2C" w14:textId="77777777" w:rsidTr="00F1278A">
        <w:tc>
          <w:tcPr>
            <w:tcW w:w="2689" w:type="dxa"/>
            <w:vMerge/>
          </w:tcPr>
          <w:p w14:paraId="2A2CBE66" w14:textId="77777777" w:rsidR="00E403BC" w:rsidRPr="0096333F" w:rsidRDefault="00E403BC" w:rsidP="00221A5B">
            <w:pPr>
              <w:pStyle w:val="NICCYBodyText"/>
              <w:rPr>
                <w:color w:val="000000" w:themeColor="text1"/>
              </w:rPr>
            </w:pPr>
          </w:p>
        </w:tc>
        <w:tc>
          <w:tcPr>
            <w:tcW w:w="6237" w:type="dxa"/>
          </w:tcPr>
          <w:p w14:paraId="053474E6" w14:textId="0CB8854C" w:rsidR="00E403BC" w:rsidRPr="0096333F" w:rsidRDefault="00E403BC" w:rsidP="00221A5B">
            <w:pPr>
              <w:pStyle w:val="NICCYBodyText"/>
              <w:rPr>
                <w:color w:val="000000" w:themeColor="text1"/>
              </w:rPr>
            </w:pPr>
            <w:r w:rsidRPr="0096333F">
              <w:rPr>
                <w:color w:val="000000" w:themeColor="text1"/>
              </w:rPr>
              <w:t>1.4 Full implementation of CAMHS dataset, including consideration of alternative approaches for delivery, such as, engagement with Encompass.</w:t>
            </w:r>
          </w:p>
        </w:tc>
        <w:tc>
          <w:tcPr>
            <w:tcW w:w="1417" w:type="dxa"/>
            <w:shd w:val="clear" w:color="auto" w:fill="FF0000"/>
          </w:tcPr>
          <w:p w14:paraId="48754B35"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67CA620A" w14:textId="77777777" w:rsidTr="00F24505">
        <w:tc>
          <w:tcPr>
            <w:tcW w:w="2689" w:type="dxa"/>
            <w:vMerge/>
          </w:tcPr>
          <w:p w14:paraId="7C3969BA" w14:textId="77777777" w:rsidR="00E403BC" w:rsidRPr="0096333F" w:rsidRDefault="00E403BC" w:rsidP="00221A5B">
            <w:pPr>
              <w:pStyle w:val="NICCYBodyText"/>
              <w:rPr>
                <w:color w:val="000000" w:themeColor="text1"/>
              </w:rPr>
            </w:pPr>
          </w:p>
        </w:tc>
        <w:tc>
          <w:tcPr>
            <w:tcW w:w="6237" w:type="dxa"/>
          </w:tcPr>
          <w:p w14:paraId="4DDB247C" w14:textId="5D54B4D1" w:rsidR="00E403BC" w:rsidRPr="0096333F" w:rsidRDefault="00E403BC" w:rsidP="00221A5B">
            <w:pPr>
              <w:pStyle w:val="NICCYBodyText"/>
              <w:rPr>
                <w:color w:val="000000" w:themeColor="text1"/>
              </w:rPr>
            </w:pPr>
            <w:r w:rsidRPr="0096333F">
              <w:rPr>
                <w:color w:val="000000" w:themeColor="text1"/>
              </w:rPr>
              <w:t>1.5 Development of prevalence study into children’s and adolescent’s mental health.</w:t>
            </w:r>
          </w:p>
        </w:tc>
        <w:tc>
          <w:tcPr>
            <w:tcW w:w="1417" w:type="dxa"/>
            <w:shd w:val="clear" w:color="auto" w:fill="00B050"/>
          </w:tcPr>
          <w:p w14:paraId="6B138B0D"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4D78E89E" w14:textId="77777777" w:rsidTr="00F24505">
        <w:tc>
          <w:tcPr>
            <w:tcW w:w="2689" w:type="dxa"/>
            <w:vMerge/>
          </w:tcPr>
          <w:p w14:paraId="5A1FFE43" w14:textId="77777777" w:rsidR="00E403BC" w:rsidRPr="0096333F" w:rsidRDefault="00E403BC" w:rsidP="00221A5B">
            <w:pPr>
              <w:pStyle w:val="NICCYBodyText"/>
              <w:rPr>
                <w:color w:val="000000" w:themeColor="text1"/>
              </w:rPr>
            </w:pPr>
          </w:p>
        </w:tc>
        <w:tc>
          <w:tcPr>
            <w:tcW w:w="6237" w:type="dxa"/>
          </w:tcPr>
          <w:p w14:paraId="3B8D9C22" w14:textId="52469992" w:rsidR="00E403BC" w:rsidRPr="0096333F" w:rsidRDefault="00E403BC" w:rsidP="00221A5B">
            <w:pPr>
              <w:pStyle w:val="NICCYBodyText"/>
              <w:rPr>
                <w:color w:val="000000" w:themeColor="text1"/>
              </w:rPr>
            </w:pPr>
            <w:r w:rsidRPr="0096333F">
              <w:rPr>
                <w:color w:val="000000" w:themeColor="text1"/>
              </w:rPr>
              <w:t>1.6 Increase awareness of referral process for referring agents</w:t>
            </w:r>
          </w:p>
        </w:tc>
        <w:tc>
          <w:tcPr>
            <w:tcW w:w="1417" w:type="dxa"/>
            <w:shd w:val="clear" w:color="auto" w:fill="FFC000"/>
          </w:tcPr>
          <w:p w14:paraId="42ABA229"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0AC4A45D" w14:textId="77777777" w:rsidTr="00F24505">
        <w:tc>
          <w:tcPr>
            <w:tcW w:w="2689" w:type="dxa"/>
            <w:vMerge/>
          </w:tcPr>
          <w:p w14:paraId="41A494E6" w14:textId="77777777" w:rsidR="00E403BC" w:rsidRPr="0096333F" w:rsidRDefault="00E403BC" w:rsidP="00E403BC">
            <w:pPr>
              <w:pStyle w:val="NICCYBodyText"/>
              <w:rPr>
                <w:color w:val="000000" w:themeColor="text1"/>
              </w:rPr>
            </w:pPr>
          </w:p>
        </w:tc>
        <w:tc>
          <w:tcPr>
            <w:tcW w:w="6237" w:type="dxa"/>
          </w:tcPr>
          <w:p w14:paraId="61F113E5" w14:textId="4CDDCB42" w:rsidR="00E403BC" w:rsidRPr="0096333F" w:rsidRDefault="00E403BC">
            <w:pPr>
              <w:pStyle w:val="NICCYBodyText"/>
              <w:rPr>
                <w:color w:val="000000" w:themeColor="text1"/>
              </w:rPr>
            </w:pPr>
            <w:r w:rsidRPr="0096333F">
              <w:rPr>
                <w:color w:val="000000" w:themeColor="text1"/>
              </w:rPr>
              <w:t>1.7 Implement the Managed Care Network.</w:t>
            </w:r>
          </w:p>
        </w:tc>
        <w:tc>
          <w:tcPr>
            <w:tcW w:w="1417" w:type="dxa"/>
            <w:shd w:val="clear" w:color="auto" w:fill="00B050"/>
          </w:tcPr>
          <w:p w14:paraId="789517F2"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729E1664" w14:textId="77777777" w:rsidTr="00F24505">
        <w:tc>
          <w:tcPr>
            <w:tcW w:w="2689" w:type="dxa"/>
            <w:vMerge/>
          </w:tcPr>
          <w:p w14:paraId="146BA3F4" w14:textId="77777777" w:rsidR="00E403BC" w:rsidRPr="0096333F" w:rsidRDefault="00E403BC" w:rsidP="00E403BC">
            <w:pPr>
              <w:pStyle w:val="NICCYBodyText"/>
              <w:rPr>
                <w:color w:val="000000" w:themeColor="text1"/>
              </w:rPr>
            </w:pPr>
          </w:p>
        </w:tc>
        <w:tc>
          <w:tcPr>
            <w:tcW w:w="6237" w:type="dxa"/>
          </w:tcPr>
          <w:p w14:paraId="007D8C47" w14:textId="3F480BBC" w:rsidR="00E403BC" w:rsidRPr="0096333F" w:rsidRDefault="00E403BC">
            <w:pPr>
              <w:pStyle w:val="NICCYBodyText"/>
              <w:rPr>
                <w:color w:val="000000" w:themeColor="text1"/>
              </w:rPr>
            </w:pPr>
            <w:r w:rsidRPr="0096333F">
              <w:rPr>
                <w:color w:val="000000" w:themeColor="text1"/>
              </w:rPr>
              <w:t>1.8 Develop MH Liaison Service (for 16+), CAIT and acute care pathways for children and for young people.</w:t>
            </w:r>
          </w:p>
        </w:tc>
        <w:tc>
          <w:tcPr>
            <w:tcW w:w="1417" w:type="dxa"/>
            <w:shd w:val="clear" w:color="auto" w:fill="FF0000"/>
          </w:tcPr>
          <w:p w14:paraId="6B7B41F4"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2F11173F" w14:textId="77777777" w:rsidTr="00227A46">
        <w:tc>
          <w:tcPr>
            <w:tcW w:w="2689" w:type="dxa"/>
            <w:vMerge/>
          </w:tcPr>
          <w:p w14:paraId="1E4F830C" w14:textId="77777777" w:rsidR="00E403BC" w:rsidRPr="0096333F" w:rsidRDefault="00E403BC" w:rsidP="00E403BC">
            <w:pPr>
              <w:pStyle w:val="NICCYBodyText"/>
              <w:rPr>
                <w:color w:val="000000" w:themeColor="text1"/>
              </w:rPr>
            </w:pPr>
          </w:p>
        </w:tc>
        <w:tc>
          <w:tcPr>
            <w:tcW w:w="6237" w:type="dxa"/>
            <w:tcBorders>
              <w:bottom w:val="single" w:sz="4" w:space="0" w:color="auto"/>
            </w:tcBorders>
          </w:tcPr>
          <w:p w14:paraId="6B632884" w14:textId="1860045E" w:rsidR="00E403BC" w:rsidRPr="0096333F" w:rsidRDefault="00E403BC">
            <w:pPr>
              <w:pStyle w:val="NICCYBodyText"/>
              <w:rPr>
                <w:color w:val="000000" w:themeColor="text1"/>
              </w:rPr>
            </w:pPr>
            <w:r w:rsidRPr="0096333F">
              <w:rPr>
                <w:color w:val="000000" w:themeColor="text1"/>
              </w:rPr>
              <w:t>1.9 Self Harm Intervention Programme (SHIP) referral pathway for children and young people to be kept under review.</w:t>
            </w:r>
          </w:p>
        </w:tc>
        <w:tc>
          <w:tcPr>
            <w:tcW w:w="1417" w:type="dxa"/>
            <w:shd w:val="clear" w:color="auto" w:fill="FF0000"/>
          </w:tcPr>
          <w:p w14:paraId="561642E4"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7714EAA8" w14:textId="77777777" w:rsidTr="00384CE2">
        <w:tc>
          <w:tcPr>
            <w:tcW w:w="2689" w:type="dxa"/>
          </w:tcPr>
          <w:p w14:paraId="213F779A" w14:textId="77777777" w:rsidR="00E403BC" w:rsidRPr="00384CE2" w:rsidRDefault="00E403BC" w:rsidP="00E403BC">
            <w:pPr>
              <w:pStyle w:val="NICCYBodyText"/>
              <w:rPr>
                <w:b/>
                <w:color w:val="000000" w:themeColor="text1"/>
              </w:rPr>
            </w:pPr>
            <w:r w:rsidRPr="00384CE2">
              <w:rPr>
                <w:b/>
                <w:color w:val="000000" w:themeColor="text1"/>
              </w:rPr>
              <w:t>2. Accessing help</w:t>
            </w:r>
          </w:p>
          <w:p w14:paraId="707C7412" w14:textId="77777777" w:rsidR="00E403BC" w:rsidRPr="00384CE2" w:rsidRDefault="00E403BC">
            <w:pPr>
              <w:pStyle w:val="NICCYBodyText"/>
              <w:rPr>
                <w:color w:val="000000" w:themeColor="text1"/>
              </w:rPr>
            </w:pPr>
          </w:p>
          <w:p w14:paraId="0C95BEF1" w14:textId="6FFA2DC2" w:rsidR="00E403BC" w:rsidRPr="00384CE2" w:rsidRDefault="00E403BC">
            <w:pPr>
              <w:pStyle w:val="NICCYBodyText"/>
              <w:rPr>
                <w:color w:val="000000" w:themeColor="text1"/>
              </w:rPr>
            </w:pPr>
            <w:r w:rsidRPr="00384CE2">
              <w:rPr>
                <w:color w:val="000000" w:themeColor="text1"/>
              </w:rPr>
              <w:t>Removing barriers that stop young people accessing services</w:t>
            </w:r>
          </w:p>
        </w:tc>
        <w:tc>
          <w:tcPr>
            <w:tcW w:w="6237" w:type="dxa"/>
          </w:tcPr>
          <w:p w14:paraId="0B6D1FE7" w14:textId="5A5714D3" w:rsidR="00227A46" w:rsidRDefault="00227A46" w:rsidP="00227A46">
            <w:pPr>
              <w:rPr>
                <w:rFonts w:ascii="Arial" w:hAnsi="Arial" w:cs="Arial"/>
                <w:color w:val="000000" w:themeColor="text1"/>
                <w:sz w:val="24"/>
                <w:szCs w:val="24"/>
              </w:rPr>
            </w:pPr>
            <w:r w:rsidRPr="00227A46">
              <w:rPr>
                <w:rFonts w:ascii="Arial" w:hAnsi="Arial" w:cs="Arial"/>
                <w:color w:val="000000" w:themeColor="text1"/>
                <w:sz w:val="24"/>
                <w:szCs w:val="24"/>
              </w:rPr>
              <w:t xml:space="preserve">2.1 Fully implement the CAMHS dataset, which will monitor referrals and acceptance rates. </w:t>
            </w:r>
          </w:p>
          <w:p w14:paraId="59C6D2F8" w14:textId="77777777" w:rsidR="00227A46" w:rsidRDefault="00227A46" w:rsidP="00227A46">
            <w:pPr>
              <w:rPr>
                <w:rFonts w:ascii="Arial" w:hAnsi="Arial" w:cs="Arial"/>
                <w:color w:val="000000" w:themeColor="text1"/>
                <w:sz w:val="24"/>
                <w:szCs w:val="24"/>
              </w:rPr>
            </w:pPr>
          </w:p>
          <w:p w14:paraId="6C5D66B3" w14:textId="2FCA0DDB" w:rsidR="00227A46" w:rsidRPr="00227A46" w:rsidRDefault="00227A46" w:rsidP="00227A46">
            <w:pPr>
              <w:rPr>
                <w:rFonts w:ascii="Arial" w:hAnsi="Arial" w:cs="Arial"/>
                <w:color w:val="000000" w:themeColor="text1"/>
                <w:sz w:val="24"/>
                <w:szCs w:val="24"/>
              </w:rPr>
            </w:pPr>
          </w:p>
          <w:p w14:paraId="435D9613" w14:textId="77777777" w:rsidR="00227A46" w:rsidRPr="00227A46" w:rsidRDefault="00227A46" w:rsidP="00227A46">
            <w:pPr>
              <w:rPr>
                <w:rFonts w:ascii="Arial" w:hAnsi="Arial" w:cs="Arial"/>
                <w:color w:val="000000" w:themeColor="text1"/>
              </w:rPr>
            </w:pPr>
          </w:p>
          <w:p w14:paraId="5FB84A30" w14:textId="77777777" w:rsidR="00227A46" w:rsidRPr="00227A46" w:rsidRDefault="00227A46" w:rsidP="00227A46">
            <w:pPr>
              <w:rPr>
                <w:rFonts w:ascii="Arial" w:hAnsi="Arial" w:cs="Arial"/>
                <w:color w:val="000000" w:themeColor="text1"/>
                <w:sz w:val="24"/>
                <w:szCs w:val="24"/>
              </w:rPr>
            </w:pPr>
          </w:p>
          <w:p w14:paraId="7610EACD" w14:textId="77777777" w:rsidR="00227A46" w:rsidRPr="00227A46" w:rsidRDefault="00227A46" w:rsidP="00227A46">
            <w:pPr>
              <w:rPr>
                <w:rFonts w:ascii="Arial" w:hAnsi="Arial" w:cs="Arial"/>
                <w:sz w:val="24"/>
                <w:szCs w:val="24"/>
              </w:rPr>
            </w:pPr>
          </w:p>
          <w:p w14:paraId="67CACBDC" w14:textId="77777777" w:rsidR="00E403BC" w:rsidRDefault="00E403BC" w:rsidP="00E403BC">
            <w:pPr>
              <w:pStyle w:val="NICCYBodyText"/>
            </w:pPr>
          </w:p>
        </w:tc>
        <w:tc>
          <w:tcPr>
            <w:tcW w:w="1417" w:type="dxa"/>
            <w:shd w:val="clear" w:color="auto" w:fill="FF0000"/>
          </w:tcPr>
          <w:p w14:paraId="69FBAC7B"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2F69DEB5" w14:textId="77777777" w:rsidTr="00384CE2">
        <w:tc>
          <w:tcPr>
            <w:tcW w:w="2689" w:type="dxa"/>
          </w:tcPr>
          <w:p w14:paraId="6E5762F2" w14:textId="77777777" w:rsidR="00E403BC" w:rsidRDefault="00E403BC" w:rsidP="00E403BC">
            <w:pPr>
              <w:pStyle w:val="NICCYBodyText"/>
            </w:pPr>
          </w:p>
        </w:tc>
        <w:tc>
          <w:tcPr>
            <w:tcW w:w="6237" w:type="dxa"/>
          </w:tcPr>
          <w:p w14:paraId="297BDC78" w14:textId="7EA57851" w:rsidR="00E403BC" w:rsidRDefault="009D4468" w:rsidP="00E403BC">
            <w:pPr>
              <w:pStyle w:val="NICCYBodyText"/>
            </w:pPr>
            <w:r w:rsidRPr="00227A46">
              <w:rPr>
                <w:color w:val="000000" w:themeColor="text1"/>
              </w:rPr>
              <w:t>2.2 Create new / review existing information channels for children, young people and families, including review of the Patient Portal and HSC pages on NI Direct and social media outlets, in collaboration with children and young people.</w:t>
            </w:r>
          </w:p>
        </w:tc>
        <w:tc>
          <w:tcPr>
            <w:tcW w:w="1417" w:type="dxa"/>
            <w:shd w:val="clear" w:color="auto" w:fill="FF0000"/>
          </w:tcPr>
          <w:p w14:paraId="0FC5B97E"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0FBCCDCF" w14:textId="77777777" w:rsidTr="00384CE2">
        <w:tc>
          <w:tcPr>
            <w:tcW w:w="2689" w:type="dxa"/>
          </w:tcPr>
          <w:p w14:paraId="27BE3E51" w14:textId="77777777" w:rsidR="00E403BC" w:rsidRDefault="00E403BC" w:rsidP="00E403BC">
            <w:pPr>
              <w:pStyle w:val="NICCYBodyText"/>
            </w:pPr>
          </w:p>
        </w:tc>
        <w:tc>
          <w:tcPr>
            <w:tcW w:w="6237" w:type="dxa"/>
          </w:tcPr>
          <w:p w14:paraId="41D4594E" w14:textId="77777777" w:rsidR="009D4468" w:rsidRPr="00227A46" w:rsidRDefault="009D4468" w:rsidP="009D4468">
            <w:pPr>
              <w:rPr>
                <w:rFonts w:ascii="Arial" w:hAnsi="Arial" w:cs="Arial"/>
                <w:color w:val="000000" w:themeColor="text1"/>
                <w:sz w:val="24"/>
                <w:szCs w:val="24"/>
              </w:rPr>
            </w:pPr>
            <w:r w:rsidRPr="00227A46">
              <w:rPr>
                <w:rFonts w:ascii="Arial" w:hAnsi="Arial" w:cs="Arial"/>
                <w:color w:val="000000" w:themeColor="text1"/>
                <w:sz w:val="24"/>
                <w:szCs w:val="24"/>
              </w:rPr>
              <w:t>2.3 Consider creation of a Mental Health Passport Scheme, through existing portals.</w:t>
            </w:r>
          </w:p>
          <w:p w14:paraId="4869794D" w14:textId="77777777" w:rsidR="00E403BC" w:rsidRDefault="00E403BC" w:rsidP="00E403BC">
            <w:pPr>
              <w:pStyle w:val="NICCYBodyText"/>
            </w:pPr>
          </w:p>
        </w:tc>
        <w:tc>
          <w:tcPr>
            <w:tcW w:w="1417" w:type="dxa"/>
            <w:shd w:val="clear" w:color="auto" w:fill="FFC000"/>
          </w:tcPr>
          <w:p w14:paraId="115F4A94"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50B91103" w14:textId="77777777" w:rsidTr="00384CE2">
        <w:tc>
          <w:tcPr>
            <w:tcW w:w="2689" w:type="dxa"/>
          </w:tcPr>
          <w:p w14:paraId="5C4EDA43" w14:textId="77777777" w:rsidR="00E403BC" w:rsidRDefault="00E403BC" w:rsidP="00E403BC">
            <w:pPr>
              <w:pStyle w:val="NICCYBodyText"/>
            </w:pPr>
          </w:p>
        </w:tc>
        <w:tc>
          <w:tcPr>
            <w:tcW w:w="6237" w:type="dxa"/>
          </w:tcPr>
          <w:p w14:paraId="2E33FC62" w14:textId="77777777" w:rsidR="009D4468" w:rsidRPr="00227A46" w:rsidRDefault="009D4468" w:rsidP="009D4468">
            <w:pPr>
              <w:rPr>
                <w:rFonts w:ascii="Arial" w:hAnsi="Arial" w:cs="Arial"/>
                <w:color w:val="000000" w:themeColor="text1"/>
                <w:sz w:val="24"/>
                <w:szCs w:val="24"/>
                <w:lang w:eastAsia="en-GB"/>
              </w:rPr>
            </w:pPr>
            <w:r w:rsidRPr="00227A46">
              <w:rPr>
                <w:rFonts w:ascii="Arial" w:hAnsi="Arial" w:cs="Arial"/>
                <w:color w:val="000000" w:themeColor="text1"/>
                <w:sz w:val="24"/>
                <w:szCs w:val="24"/>
                <w:lang w:eastAsia="en-GB"/>
              </w:rPr>
              <w:t>2.4 Review Integrated Elective Access Protocol (IEAP) to ensure fit for purpose for children and young people.</w:t>
            </w:r>
          </w:p>
          <w:p w14:paraId="5818253D" w14:textId="77777777" w:rsidR="00E403BC" w:rsidRDefault="00E403BC" w:rsidP="00E403BC">
            <w:pPr>
              <w:pStyle w:val="NICCYBodyText"/>
            </w:pPr>
          </w:p>
        </w:tc>
        <w:tc>
          <w:tcPr>
            <w:tcW w:w="1417" w:type="dxa"/>
            <w:shd w:val="clear" w:color="auto" w:fill="FF0000"/>
          </w:tcPr>
          <w:p w14:paraId="31597A64"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5FA04C62" w14:textId="77777777" w:rsidTr="00384CE2">
        <w:tc>
          <w:tcPr>
            <w:tcW w:w="2689" w:type="dxa"/>
          </w:tcPr>
          <w:p w14:paraId="76B78E7F" w14:textId="77777777" w:rsidR="00E403BC" w:rsidRDefault="00E403BC" w:rsidP="00E403BC">
            <w:pPr>
              <w:pStyle w:val="NICCYBodyText"/>
            </w:pPr>
          </w:p>
        </w:tc>
        <w:tc>
          <w:tcPr>
            <w:tcW w:w="6237" w:type="dxa"/>
          </w:tcPr>
          <w:p w14:paraId="79DD0EE8" w14:textId="77777777" w:rsidR="009D4468" w:rsidRPr="00227A46" w:rsidRDefault="009D4468" w:rsidP="009D4468">
            <w:pPr>
              <w:rPr>
                <w:rFonts w:ascii="Arial" w:hAnsi="Arial" w:cs="Arial"/>
                <w:color w:val="000000" w:themeColor="text1"/>
                <w:sz w:val="24"/>
                <w:szCs w:val="24"/>
                <w:lang w:eastAsia="en-GB"/>
              </w:rPr>
            </w:pPr>
            <w:r w:rsidRPr="00227A46">
              <w:rPr>
                <w:rFonts w:ascii="Arial" w:hAnsi="Arial" w:cs="Arial"/>
                <w:color w:val="000000" w:themeColor="text1"/>
                <w:sz w:val="24"/>
                <w:szCs w:val="24"/>
                <w:lang w:eastAsia="en-GB"/>
              </w:rPr>
              <w:t>2.5 Evaluate Card Before You Leave (CBYL) for children and young people.</w:t>
            </w:r>
          </w:p>
          <w:p w14:paraId="7AE282D6" w14:textId="77777777" w:rsidR="00E403BC" w:rsidRDefault="00E403BC" w:rsidP="00E403BC">
            <w:pPr>
              <w:pStyle w:val="NICCYBodyText"/>
            </w:pPr>
          </w:p>
        </w:tc>
        <w:tc>
          <w:tcPr>
            <w:tcW w:w="1417" w:type="dxa"/>
            <w:shd w:val="clear" w:color="auto" w:fill="FF0000"/>
          </w:tcPr>
          <w:p w14:paraId="5EC250BD"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5AD835FD" w14:textId="77777777" w:rsidTr="00384CE2">
        <w:tc>
          <w:tcPr>
            <w:tcW w:w="2689" w:type="dxa"/>
          </w:tcPr>
          <w:p w14:paraId="58D7F6C1" w14:textId="77777777" w:rsidR="00E403BC" w:rsidRDefault="00E403BC" w:rsidP="00E403BC">
            <w:pPr>
              <w:pStyle w:val="NICCYBodyText"/>
            </w:pPr>
          </w:p>
        </w:tc>
        <w:tc>
          <w:tcPr>
            <w:tcW w:w="6237" w:type="dxa"/>
          </w:tcPr>
          <w:p w14:paraId="12CF477D" w14:textId="77777777" w:rsidR="009D4468" w:rsidRPr="00227A46" w:rsidRDefault="009D4468" w:rsidP="009D4468">
            <w:pPr>
              <w:rPr>
                <w:rFonts w:ascii="Arial" w:hAnsi="Arial" w:cs="Arial"/>
                <w:color w:val="000000" w:themeColor="text1"/>
                <w:sz w:val="24"/>
                <w:szCs w:val="24"/>
              </w:rPr>
            </w:pPr>
            <w:r w:rsidRPr="00227A46">
              <w:rPr>
                <w:rFonts w:ascii="Arial" w:hAnsi="Arial" w:cs="Arial"/>
                <w:color w:val="000000" w:themeColor="text1"/>
                <w:sz w:val="24"/>
                <w:szCs w:val="24"/>
              </w:rPr>
              <w:t>2.6 Co-produce an app to help and support young people who may struggle or have difficulties engaging with CAMHS:</w:t>
            </w:r>
          </w:p>
          <w:p w14:paraId="34F6505E" w14:textId="77777777" w:rsidR="009D4468" w:rsidRPr="00227A46" w:rsidRDefault="009D4468" w:rsidP="009D4468">
            <w:pPr>
              <w:pStyle w:val="ListParagraph"/>
              <w:numPr>
                <w:ilvl w:val="0"/>
                <w:numId w:val="36"/>
              </w:numPr>
              <w:rPr>
                <w:rFonts w:ascii="Arial" w:hAnsi="Arial" w:cs="Arial"/>
                <w:color w:val="000000" w:themeColor="text1"/>
                <w:sz w:val="24"/>
                <w:szCs w:val="24"/>
              </w:rPr>
            </w:pPr>
            <w:r w:rsidRPr="00227A46">
              <w:rPr>
                <w:rFonts w:ascii="Arial" w:hAnsi="Arial" w:cs="Arial"/>
                <w:color w:val="000000" w:themeColor="text1"/>
                <w:sz w:val="24"/>
                <w:szCs w:val="24"/>
              </w:rPr>
              <w:t>Scoping work to understand what is currently provided</w:t>
            </w:r>
          </w:p>
          <w:p w14:paraId="6875EFD7" w14:textId="77777777" w:rsidR="009D4468" w:rsidRPr="00227A46" w:rsidRDefault="009D4468" w:rsidP="009D4468">
            <w:pPr>
              <w:pStyle w:val="ListParagraph"/>
              <w:numPr>
                <w:ilvl w:val="0"/>
                <w:numId w:val="36"/>
              </w:numPr>
              <w:rPr>
                <w:rFonts w:ascii="Arial" w:hAnsi="Arial" w:cs="Arial"/>
                <w:color w:val="000000" w:themeColor="text1"/>
                <w:sz w:val="24"/>
                <w:szCs w:val="24"/>
              </w:rPr>
            </w:pPr>
            <w:r w:rsidRPr="00227A46">
              <w:rPr>
                <w:rFonts w:ascii="Arial" w:hAnsi="Arial" w:cs="Arial"/>
                <w:color w:val="000000" w:themeColor="text1"/>
                <w:sz w:val="24"/>
                <w:szCs w:val="24"/>
              </w:rPr>
              <w:t>Set up Task &amp; Finish group with children and young people involvement, to take forward app development.</w:t>
            </w:r>
          </w:p>
          <w:p w14:paraId="70223DBA" w14:textId="77777777" w:rsidR="00E403BC" w:rsidRDefault="00E403BC" w:rsidP="00E403BC">
            <w:pPr>
              <w:pStyle w:val="NICCYBodyText"/>
            </w:pPr>
          </w:p>
        </w:tc>
        <w:tc>
          <w:tcPr>
            <w:tcW w:w="1417" w:type="dxa"/>
            <w:shd w:val="clear" w:color="auto" w:fill="FFC000"/>
          </w:tcPr>
          <w:p w14:paraId="6CA6ECD2"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0FD7A6E1" w14:textId="77777777" w:rsidTr="00384CE2">
        <w:tc>
          <w:tcPr>
            <w:tcW w:w="2689" w:type="dxa"/>
          </w:tcPr>
          <w:p w14:paraId="4CF734E9" w14:textId="77777777" w:rsidR="00E403BC" w:rsidRDefault="00E403BC" w:rsidP="00E403BC">
            <w:pPr>
              <w:pStyle w:val="NICCYBodyText"/>
            </w:pPr>
          </w:p>
        </w:tc>
        <w:tc>
          <w:tcPr>
            <w:tcW w:w="6237" w:type="dxa"/>
          </w:tcPr>
          <w:p w14:paraId="22B372C0" w14:textId="77777777" w:rsidR="009D4468" w:rsidRPr="00227A46" w:rsidRDefault="009D4468" w:rsidP="009D4468">
            <w:pPr>
              <w:rPr>
                <w:rFonts w:ascii="Arial" w:hAnsi="Arial" w:cs="Arial"/>
                <w:color w:val="000000" w:themeColor="text1"/>
                <w:sz w:val="24"/>
                <w:szCs w:val="24"/>
                <w:lang w:eastAsia="en-GB"/>
              </w:rPr>
            </w:pPr>
            <w:r w:rsidRPr="00227A46">
              <w:rPr>
                <w:rFonts w:ascii="Arial" w:hAnsi="Arial" w:cs="Arial"/>
                <w:color w:val="000000" w:themeColor="text1"/>
                <w:sz w:val="24"/>
                <w:szCs w:val="24"/>
                <w:lang w:eastAsia="en-GB"/>
              </w:rPr>
              <w:t>2.7 Review CAMHS appointment systems.</w:t>
            </w:r>
          </w:p>
          <w:p w14:paraId="42B5AC28" w14:textId="77777777" w:rsidR="00E403BC" w:rsidRDefault="00E403BC" w:rsidP="00E403BC">
            <w:pPr>
              <w:pStyle w:val="NICCYBodyText"/>
            </w:pPr>
          </w:p>
        </w:tc>
        <w:tc>
          <w:tcPr>
            <w:tcW w:w="1417" w:type="dxa"/>
            <w:shd w:val="clear" w:color="auto" w:fill="00B050"/>
          </w:tcPr>
          <w:p w14:paraId="4E9A4862"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6FA3C1DE" w14:textId="77777777" w:rsidTr="00384CE2">
        <w:tc>
          <w:tcPr>
            <w:tcW w:w="2689" w:type="dxa"/>
          </w:tcPr>
          <w:p w14:paraId="40F17AEF" w14:textId="77777777" w:rsidR="00E403BC" w:rsidRDefault="00E403BC" w:rsidP="00E403BC">
            <w:pPr>
              <w:pStyle w:val="NICCYBodyText"/>
            </w:pPr>
          </w:p>
        </w:tc>
        <w:tc>
          <w:tcPr>
            <w:tcW w:w="6237" w:type="dxa"/>
            <w:tcBorders>
              <w:bottom w:val="single" w:sz="4" w:space="0" w:color="auto"/>
            </w:tcBorders>
          </w:tcPr>
          <w:p w14:paraId="66EA2981" w14:textId="77777777" w:rsidR="009D4468" w:rsidRPr="00227A46" w:rsidRDefault="009D4468" w:rsidP="009D4468">
            <w:pPr>
              <w:rPr>
                <w:rFonts w:ascii="Arial" w:hAnsi="Arial" w:cs="Arial"/>
                <w:color w:val="000000" w:themeColor="text1"/>
                <w:sz w:val="24"/>
                <w:szCs w:val="24"/>
                <w:lang w:eastAsia="en-GB"/>
              </w:rPr>
            </w:pPr>
            <w:r w:rsidRPr="00227A46">
              <w:rPr>
                <w:rFonts w:ascii="Arial" w:hAnsi="Arial" w:cs="Arial"/>
                <w:color w:val="000000" w:themeColor="text1"/>
                <w:sz w:val="24"/>
                <w:szCs w:val="24"/>
                <w:lang w:eastAsia="en-GB"/>
              </w:rPr>
              <w:t>2.8 Fully implement CAMHS care pathway across NI, including gap analysis and where additional resources should be deployed.</w:t>
            </w:r>
          </w:p>
          <w:p w14:paraId="0B05E870" w14:textId="77777777" w:rsidR="00E403BC" w:rsidRDefault="00E403BC" w:rsidP="00E403BC">
            <w:pPr>
              <w:pStyle w:val="NICCYBodyText"/>
            </w:pPr>
          </w:p>
        </w:tc>
        <w:tc>
          <w:tcPr>
            <w:tcW w:w="1417" w:type="dxa"/>
            <w:shd w:val="clear" w:color="auto" w:fill="FF0000"/>
          </w:tcPr>
          <w:p w14:paraId="7CB2BA58"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618EEA8B" w14:textId="77777777" w:rsidTr="00161B60">
        <w:tc>
          <w:tcPr>
            <w:tcW w:w="2689" w:type="dxa"/>
          </w:tcPr>
          <w:p w14:paraId="7DB2D6CC" w14:textId="23463D42" w:rsidR="009D4468" w:rsidRPr="00892462" w:rsidRDefault="000D289E" w:rsidP="009D4468">
            <w:pPr>
              <w:rPr>
                <w:rFonts w:ascii="Arial" w:hAnsi="Arial" w:cs="Arial"/>
                <w:b/>
                <w:color w:val="000000" w:themeColor="text1"/>
                <w:sz w:val="24"/>
                <w:szCs w:val="24"/>
                <w:lang w:eastAsia="en-GB"/>
              </w:rPr>
            </w:pPr>
            <w:r w:rsidRPr="00892462">
              <w:rPr>
                <w:rFonts w:ascii="Arial" w:hAnsi="Arial" w:cs="Arial"/>
                <w:b/>
                <w:color w:val="000000" w:themeColor="text1"/>
                <w:sz w:val="24"/>
                <w:szCs w:val="24"/>
                <w:lang w:eastAsia="en-GB"/>
              </w:rPr>
              <w:t>3. Supporting Adults working with Children and Young People</w:t>
            </w:r>
          </w:p>
          <w:p w14:paraId="0C7D7BA8" w14:textId="77777777" w:rsidR="009D4468" w:rsidRDefault="009D4468" w:rsidP="009D4468">
            <w:pPr>
              <w:rPr>
                <w:rFonts w:ascii="Arial" w:hAnsi="Arial" w:cs="Arial"/>
                <w:color w:val="000000" w:themeColor="text1"/>
                <w:sz w:val="24"/>
                <w:szCs w:val="24"/>
                <w:lang w:eastAsia="en-GB"/>
              </w:rPr>
            </w:pPr>
          </w:p>
          <w:p w14:paraId="1AAD4AF6" w14:textId="77777777" w:rsidR="00E403BC" w:rsidRDefault="00E403BC" w:rsidP="00E403BC">
            <w:pPr>
              <w:pStyle w:val="NICCYBodyText"/>
            </w:pPr>
          </w:p>
        </w:tc>
        <w:tc>
          <w:tcPr>
            <w:tcW w:w="6237" w:type="dxa"/>
          </w:tcPr>
          <w:p w14:paraId="3F4EAEAE" w14:textId="77777777" w:rsidR="000D289E" w:rsidRPr="000D289E" w:rsidRDefault="000D289E" w:rsidP="000D289E">
            <w:pPr>
              <w:rPr>
                <w:rFonts w:ascii="Arial" w:hAnsi="Arial" w:cs="Arial"/>
                <w:color w:val="000000" w:themeColor="text1"/>
                <w:sz w:val="24"/>
                <w:szCs w:val="24"/>
              </w:rPr>
            </w:pPr>
            <w:r w:rsidRPr="000D289E">
              <w:rPr>
                <w:rFonts w:ascii="Arial" w:hAnsi="Arial" w:cs="Arial"/>
                <w:color w:val="000000" w:themeColor="text1"/>
                <w:sz w:val="24"/>
                <w:szCs w:val="24"/>
              </w:rPr>
              <w:t>3.1 Roll out at Trust level of short course programme on the CAMHS Care pathway to GPs and other children services.</w:t>
            </w:r>
          </w:p>
          <w:p w14:paraId="585459B1" w14:textId="77777777" w:rsidR="000D289E" w:rsidRPr="000D289E" w:rsidRDefault="000D289E" w:rsidP="009D4468">
            <w:pPr>
              <w:rPr>
                <w:rFonts w:ascii="Arial" w:hAnsi="Arial" w:cs="Arial"/>
                <w:color w:val="000000" w:themeColor="text1"/>
                <w:sz w:val="24"/>
                <w:szCs w:val="24"/>
                <w:lang w:eastAsia="en-GB"/>
              </w:rPr>
            </w:pPr>
          </w:p>
          <w:p w14:paraId="05219251" w14:textId="77777777" w:rsidR="00E403BC" w:rsidRPr="000D289E" w:rsidRDefault="00E403BC" w:rsidP="00E403BC">
            <w:pPr>
              <w:pStyle w:val="NICCYBodyText"/>
            </w:pPr>
          </w:p>
        </w:tc>
        <w:tc>
          <w:tcPr>
            <w:tcW w:w="1417" w:type="dxa"/>
            <w:shd w:val="clear" w:color="auto" w:fill="FFC000"/>
          </w:tcPr>
          <w:p w14:paraId="73F6E3D2"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765DF265" w14:textId="77777777" w:rsidTr="00161B60">
        <w:tc>
          <w:tcPr>
            <w:tcW w:w="2689" w:type="dxa"/>
          </w:tcPr>
          <w:p w14:paraId="093688FD" w14:textId="77777777" w:rsidR="00E403BC" w:rsidRDefault="00E403BC" w:rsidP="00E403BC">
            <w:pPr>
              <w:pStyle w:val="NICCYBodyText"/>
            </w:pPr>
          </w:p>
        </w:tc>
        <w:tc>
          <w:tcPr>
            <w:tcW w:w="6237" w:type="dxa"/>
          </w:tcPr>
          <w:p w14:paraId="089BCE13" w14:textId="77777777" w:rsidR="000D289E" w:rsidRPr="000D289E" w:rsidRDefault="000D289E" w:rsidP="000D289E">
            <w:pPr>
              <w:rPr>
                <w:rFonts w:ascii="Arial" w:hAnsi="Arial" w:cs="Arial"/>
                <w:color w:val="000000" w:themeColor="text1"/>
                <w:sz w:val="24"/>
                <w:szCs w:val="24"/>
              </w:rPr>
            </w:pPr>
            <w:r w:rsidRPr="000D289E">
              <w:rPr>
                <w:rFonts w:ascii="Arial" w:hAnsi="Arial" w:cs="Arial"/>
                <w:color w:val="000000" w:themeColor="text1"/>
                <w:sz w:val="24"/>
                <w:szCs w:val="24"/>
              </w:rPr>
              <w:t xml:space="preserve">3.2 Development of a children &amp; young people’s mental health training strategy and standards for professionals working with children and young people.  </w:t>
            </w:r>
          </w:p>
          <w:p w14:paraId="0C32016B" w14:textId="77777777" w:rsidR="00E403BC" w:rsidRPr="000D289E" w:rsidRDefault="00E403BC" w:rsidP="00E403BC">
            <w:pPr>
              <w:pStyle w:val="NICCYBodyText"/>
            </w:pPr>
          </w:p>
        </w:tc>
        <w:tc>
          <w:tcPr>
            <w:tcW w:w="1417" w:type="dxa"/>
            <w:shd w:val="clear" w:color="auto" w:fill="FF0000"/>
          </w:tcPr>
          <w:p w14:paraId="756D1F7D"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433A1771" w14:textId="77777777" w:rsidTr="00161B60">
        <w:tc>
          <w:tcPr>
            <w:tcW w:w="2689" w:type="dxa"/>
          </w:tcPr>
          <w:p w14:paraId="6F306503" w14:textId="77777777" w:rsidR="00E403BC" w:rsidRDefault="00E403BC" w:rsidP="00E403BC">
            <w:pPr>
              <w:pStyle w:val="NICCYBodyText"/>
            </w:pPr>
          </w:p>
        </w:tc>
        <w:tc>
          <w:tcPr>
            <w:tcW w:w="6237" w:type="dxa"/>
          </w:tcPr>
          <w:p w14:paraId="098FA648" w14:textId="77777777" w:rsidR="000D289E" w:rsidRPr="000D289E" w:rsidRDefault="000D289E" w:rsidP="000D289E">
            <w:pPr>
              <w:rPr>
                <w:rFonts w:ascii="Arial" w:hAnsi="Arial" w:cs="Arial"/>
                <w:color w:val="000000" w:themeColor="text1"/>
                <w:sz w:val="24"/>
                <w:szCs w:val="24"/>
              </w:rPr>
            </w:pPr>
            <w:r w:rsidRPr="000D289E">
              <w:rPr>
                <w:rFonts w:ascii="Arial" w:hAnsi="Arial" w:cs="Arial"/>
                <w:color w:val="000000" w:themeColor="text1"/>
                <w:sz w:val="24"/>
                <w:szCs w:val="24"/>
              </w:rPr>
              <w:t>3.3 Implementation of primary care MDTs with a mental health worker attached to all GPs across the region.</w:t>
            </w:r>
          </w:p>
          <w:p w14:paraId="2EA020FF" w14:textId="77777777" w:rsidR="00E403BC" w:rsidRPr="000D289E" w:rsidRDefault="00E403BC" w:rsidP="00E403BC">
            <w:pPr>
              <w:pStyle w:val="NICCYBodyText"/>
            </w:pPr>
          </w:p>
        </w:tc>
        <w:tc>
          <w:tcPr>
            <w:tcW w:w="1417" w:type="dxa"/>
            <w:shd w:val="clear" w:color="auto" w:fill="FFC000"/>
          </w:tcPr>
          <w:p w14:paraId="501EA8AF" w14:textId="77777777" w:rsidR="00E403BC" w:rsidRDefault="00E403BC" w:rsidP="00E403BC">
            <w:pPr>
              <w:spacing w:line="276" w:lineRule="auto"/>
              <w:ind w:right="-433"/>
              <w:rPr>
                <w:rFonts w:ascii="Arial" w:eastAsiaTheme="minorEastAsia" w:hAnsi="Arial" w:cs="Arial"/>
                <w:color w:val="414042"/>
                <w:sz w:val="24"/>
                <w:szCs w:val="24"/>
              </w:rPr>
            </w:pPr>
          </w:p>
        </w:tc>
      </w:tr>
      <w:tr w:rsidR="00892462" w14:paraId="1332820A" w14:textId="77777777" w:rsidTr="00161B60">
        <w:tc>
          <w:tcPr>
            <w:tcW w:w="2689" w:type="dxa"/>
          </w:tcPr>
          <w:p w14:paraId="773C70C6" w14:textId="77777777" w:rsidR="000D289E" w:rsidRDefault="000D289E" w:rsidP="000D289E">
            <w:pPr>
              <w:pStyle w:val="NICCYBodyText"/>
            </w:pPr>
          </w:p>
        </w:tc>
        <w:tc>
          <w:tcPr>
            <w:tcW w:w="6237" w:type="dxa"/>
          </w:tcPr>
          <w:p w14:paraId="325EFD1B" w14:textId="77777777" w:rsidR="000D289E" w:rsidRPr="000D289E" w:rsidRDefault="000D289E" w:rsidP="000D289E">
            <w:pPr>
              <w:rPr>
                <w:rFonts w:ascii="Arial" w:hAnsi="Arial" w:cs="Arial"/>
                <w:color w:val="000000" w:themeColor="text1"/>
                <w:sz w:val="24"/>
                <w:szCs w:val="24"/>
              </w:rPr>
            </w:pPr>
            <w:r w:rsidRPr="000D289E">
              <w:rPr>
                <w:rFonts w:ascii="Arial" w:hAnsi="Arial" w:cs="Arial"/>
                <w:color w:val="000000" w:themeColor="text1"/>
                <w:sz w:val="24"/>
                <w:szCs w:val="24"/>
              </w:rPr>
              <w:t>3.4 Named “MH professional” (title to be agreed) in every school, to be taken forward alongside the Emotional Health and Wellbeing Framework for Children and Young People (DE / PHA):</w:t>
            </w:r>
          </w:p>
          <w:p w14:paraId="0120C1D7" w14:textId="77777777" w:rsidR="000D289E" w:rsidRPr="000D289E" w:rsidRDefault="000D289E" w:rsidP="000D289E">
            <w:pPr>
              <w:rPr>
                <w:rFonts w:ascii="Arial" w:hAnsi="Arial" w:cs="Arial"/>
                <w:color w:val="000000" w:themeColor="text1"/>
                <w:sz w:val="24"/>
                <w:szCs w:val="24"/>
              </w:rPr>
            </w:pPr>
          </w:p>
          <w:p w14:paraId="64BF4713" w14:textId="60B8FE17" w:rsidR="000D289E" w:rsidRPr="000D289E" w:rsidRDefault="000D289E" w:rsidP="000D289E">
            <w:pPr>
              <w:pStyle w:val="NICCYBodyText"/>
            </w:pPr>
            <w:r w:rsidRPr="000D289E">
              <w:rPr>
                <w:color w:val="000000" w:themeColor="text1"/>
              </w:rPr>
              <w:t>- Develop proposals, including better use of VCS services; and development of business case.</w:t>
            </w:r>
          </w:p>
        </w:tc>
        <w:tc>
          <w:tcPr>
            <w:tcW w:w="1417" w:type="dxa"/>
            <w:shd w:val="clear" w:color="auto" w:fill="00B050"/>
          </w:tcPr>
          <w:p w14:paraId="19169A84" w14:textId="77777777" w:rsidR="000D289E" w:rsidRDefault="000D289E" w:rsidP="000D289E">
            <w:pPr>
              <w:spacing w:line="276" w:lineRule="auto"/>
              <w:ind w:right="-433"/>
              <w:rPr>
                <w:rFonts w:ascii="Arial" w:eastAsiaTheme="minorEastAsia" w:hAnsi="Arial" w:cs="Arial"/>
                <w:color w:val="414042"/>
                <w:sz w:val="24"/>
                <w:szCs w:val="24"/>
              </w:rPr>
            </w:pPr>
          </w:p>
        </w:tc>
      </w:tr>
      <w:tr w:rsidR="00892462" w14:paraId="3DF64F17" w14:textId="77777777" w:rsidTr="00161B60">
        <w:tc>
          <w:tcPr>
            <w:tcW w:w="2689" w:type="dxa"/>
          </w:tcPr>
          <w:p w14:paraId="4024228E" w14:textId="3F5A7D36" w:rsidR="000D289E" w:rsidRPr="00892462" w:rsidRDefault="000D289E" w:rsidP="000D289E">
            <w:pPr>
              <w:pStyle w:val="NICCYBodyText"/>
              <w:rPr>
                <w:b/>
              </w:rPr>
            </w:pPr>
            <w:r w:rsidRPr="00892462">
              <w:rPr>
                <w:b/>
              </w:rPr>
              <w:lastRenderedPageBreak/>
              <w:t>4 Specialist Support</w:t>
            </w:r>
          </w:p>
        </w:tc>
        <w:tc>
          <w:tcPr>
            <w:tcW w:w="6237" w:type="dxa"/>
          </w:tcPr>
          <w:p w14:paraId="2464F3B6" w14:textId="77777777" w:rsidR="00291170" w:rsidRPr="00291170" w:rsidRDefault="00291170" w:rsidP="00291170">
            <w:pPr>
              <w:rPr>
                <w:rFonts w:ascii="Arial" w:hAnsi="Arial" w:cs="Arial"/>
                <w:color w:val="000000" w:themeColor="text1"/>
                <w:sz w:val="24"/>
                <w:szCs w:val="24"/>
              </w:rPr>
            </w:pPr>
            <w:r w:rsidRPr="00291170">
              <w:rPr>
                <w:rFonts w:ascii="Arial" w:hAnsi="Arial" w:cs="Arial"/>
                <w:color w:val="000000" w:themeColor="text1"/>
                <w:sz w:val="24"/>
                <w:szCs w:val="24"/>
              </w:rPr>
              <w:t>4.1 Increase capacity in the C&amp;V sector for community based mental health support, to include after care support:</w:t>
            </w:r>
          </w:p>
          <w:p w14:paraId="4FE65413" w14:textId="77777777" w:rsidR="00291170" w:rsidRPr="00291170" w:rsidRDefault="00291170" w:rsidP="00291170">
            <w:pPr>
              <w:rPr>
                <w:rFonts w:ascii="Arial" w:hAnsi="Arial" w:cs="Arial"/>
                <w:color w:val="000000" w:themeColor="text1"/>
                <w:sz w:val="24"/>
                <w:szCs w:val="24"/>
              </w:rPr>
            </w:pPr>
          </w:p>
          <w:p w14:paraId="52343744" w14:textId="77777777" w:rsidR="00291170" w:rsidRPr="00291170" w:rsidRDefault="00291170" w:rsidP="00291170">
            <w:pPr>
              <w:rPr>
                <w:rFonts w:ascii="Arial" w:hAnsi="Arial" w:cs="Arial"/>
                <w:color w:val="000000" w:themeColor="text1"/>
                <w:sz w:val="24"/>
                <w:szCs w:val="24"/>
              </w:rPr>
            </w:pPr>
            <w:r w:rsidRPr="00291170">
              <w:rPr>
                <w:rFonts w:ascii="Arial" w:hAnsi="Arial" w:cs="Arial"/>
                <w:color w:val="000000" w:themeColor="text1"/>
                <w:sz w:val="24"/>
                <w:szCs w:val="24"/>
              </w:rPr>
              <w:t>- scope existing provision with analysis and proposals for potential areas for expansion and consideration of workforce implications.</w:t>
            </w:r>
          </w:p>
          <w:p w14:paraId="454E6BEA" w14:textId="77777777" w:rsidR="000D289E" w:rsidRPr="00291170" w:rsidRDefault="000D289E" w:rsidP="000D289E">
            <w:pPr>
              <w:pStyle w:val="NICCYBodyText"/>
            </w:pPr>
          </w:p>
        </w:tc>
        <w:tc>
          <w:tcPr>
            <w:tcW w:w="1417" w:type="dxa"/>
            <w:shd w:val="clear" w:color="auto" w:fill="FFC000"/>
          </w:tcPr>
          <w:p w14:paraId="6C8ED10A" w14:textId="77777777" w:rsidR="000D289E" w:rsidRDefault="000D289E" w:rsidP="000D289E">
            <w:pPr>
              <w:spacing w:line="276" w:lineRule="auto"/>
              <w:ind w:right="-433"/>
              <w:rPr>
                <w:rFonts w:ascii="Arial" w:eastAsiaTheme="minorEastAsia" w:hAnsi="Arial" w:cs="Arial"/>
                <w:color w:val="414042"/>
                <w:sz w:val="24"/>
                <w:szCs w:val="24"/>
              </w:rPr>
            </w:pPr>
          </w:p>
        </w:tc>
      </w:tr>
      <w:tr w:rsidR="00892462" w14:paraId="67FB8588" w14:textId="77777777" w:rsidTr="00161B60">
        <w:tc>
          <w:tcPr>
            <w:tcW w:w="2689" w:type="dxa"/>
          </w:tcPr>
          <w:p w14:paraId="2032979A" w14:textId="77777777" w:rsidR="000D289E" w:rsidRDefault="000D289E" w:rsidP="000D289E">
            <w:pPr>
              <w:pStyle w:val="NICCYBodyText"/>
            </w:pPr>
          </w:p>
        </w:tc>
        <w:tc>
          <w:tcPr>
            <w:tcW w:w="6237" w:type="dxa"/>
          </w:tcPr>
          <w:p w14:paraId="2D0BA067" w14:textId="77777777" w:rsidR="00291170" w:rsidRPr="00291170" w:rsidRDefault="00291170" w:rsidP="00291170">
            <w:pPr>
              <w:rPr>
                <w:rFonts w:ascii="Arial" w:hAnsi="Arial" w:cs="Arial"/>
                <w:color w:val="000000" w:themeColor="text1"/>
                <w:sz w:val="24"/>
                <w:szCs w:val="24"/>
              </w:rPr>
            </w:pPr>
            <w:r w:rsidRPr="00291170">
              <w:rPr>
                <w:rFonts w:ascii="Arial" w:hAnsi="Arial" w:cs="Arial"/>
                <w:color w:val="000000" w:themeColor="text1"/>
                <w:sz w:val="24"/>
                <w:szCs w:val="24"/>
              </w:rPr>
              <w:t xml:space="preserve">4.2 A greater range of self-help support for young people (including social prescribing – link to MDT work) to be available on referral from GPs </w:t>
            </w:r>
          </w:p>
          <w:p w14:paraId="32155122" w14:textId="77777777" w:rsidR="00291170" w:rsidRPr="00291170" w:rsidRDefault="00291170" w:rsidP="00291170">
            <w:pPr>
              <w:rPr>
                <w:rFonts w:ascii="Arial" w:hAnsi="Arial" w:cs="Arial"/>
                <w:color w:val="000000" w:themeColor="text1"/>
                <w:sz w:val="24"/>
                <w:szCs w:val="24"/>
              </w:rPr>
            </w:pPr>
          </w:p>
          <w:p w14:paraId="76D6444A" w14:textId="77777777" w:rsidR="00291170" w:rsidRPr="00291170" w:rsidRDefault="00291170" w:rsidP="00291170">
            <w:pPr>
              <w:rPr>
                <w:rFonts w:ascii="Arial" w:hAnsi="Arial" w:cs="Arial"/>
                <w:color w:val="000000" w:themeColor="text1"/>
                <w:sz w:val="24"/>
                <w:szCs w:val="24"/>
              </w:rPr>
            </w:pPr>
            <w:r w:rsidRPr="00291170">
              <w:rPr>
                <w:rFonts w:ascii="Arial" w:hAnsi="Arial" w:cs="Arial"/>
                <w:color w:val="000000" w:themeColor="text1"/>
                <w:sz w:val="24"/>
                <w:szCs w:val="24"/>
              </w:rPr>
              <w:t>Linked to action 4.1 above</w:t>
            </w:r>
          </w:p>
          <w:p w14:paraId="1506BAE7" w14:textId="77777777" w:rsidR="00291170" w:rsidRPr="00291170" w:rsidRDefault="00291170" w:rsidP="00291170">
            <w:pPr>
              <w:rPr>
                <w:rFonts w:ascii="Arial" w:hAnsi="Arial" w:cs="Arial"/>
                <w:color w:val="000000" w:themeColor="text1"/>
                <w:sz w:val="24"/>
                <w:szCs w:val="24"/>
              </w:rPr>
            </w:pPr>
          </w:p>
          <w:p w14:paraId="3E3CF8AC" w14:textId="77777777" w:rsidR="00291170" w:rsidRPr="00291170" w:rsidRDefault="00291170" w:rsidP="00291170">
            <w:pPr>
              <w:pStyle w:val="ListParagraph"/>
              <w:numPr>
                <w:ilvl w:val="0"/>
                <w:numId w:val="37"/>
              </w:numPr>
              <w:ind w:left="207" w:hanging="207"/>
              <w:rPr>
                <w:rFonts w:ascii="Arial" w:hAnsi="Arial" w:cs="Arial"/>
                <w:color w:val="000000" w:themeColor="text1"/>
                <w:sz w:val="24"/>
                <w:szCs w:val="24"/>
              </w:rPr>
            </w:pPr>
            <w:r w:rsidRPr="00291170">
              <w:rPr>
                <w:rFonts w:ascii="Arial" w:hAnsi="Arial" w:cs="Arial"/>
                <w:color w:val="000000" w:themeColor="text1"/>
                <w:sz w:val="24"/>
                <w:szCs w:val="24"/>
              </w:rPr>
              <w:t>Scope existing support and complete gap analysis</w:t>
            </w:r>
          </w:p>
          <w:p w14:paraId="441CC6A3" w14:textId="77777777" w:rsidR="00291170" w:rsidRPr="00291170" w:rsidRDefault="00291170" w:rsidP="00291170">
            <w:pPr>
              <w:pStyle w:val="ListParagraph"/>
              <w:numPr>
                <w:ilvl w:val="0"/>
                <w:numId w:val="37"/>
              </w:numPr>
              <w:ind w:left="207" w:hanging="207"/>
              <w:rPr>
                <w:rFonts w:ascii="Arial" w:hAnsi="Arial" w:cs="Arial"/>
                <w:color w:val="000000" w:themeColor="text1"/>
                <w:sz w:val="24"/>
                <w:szCs w:val="24"/>
              </w:rPr>
            </w:pPr>
            <w:r w:rsidRPr="00291170">
              <w:rPr>
                <w:rFonts w:ascii="Arial" w:hAnsi="Arial" w:cs="Arial"/>
                <w:color w:val="000000" w:themeColor="text1"/>
                <w:sz w:val="24"/>
                <w:szCs w:val="24"/>
              </w:rPr>
              <w:t>Consider how best to encourage GPs to utilise supports – app development, awareness raising, trust specific database etc.</w:t>
            </w:r>
          </w:p>
          <w:p w14:paraId="4FEEC39E" w14:textId="77777777" w:rsidR="000D289E" w:rsidRPr="00291170" w:rsidRDefault="000D289E" w:rsidP="000D289E">
            <w:pPr>
              <w:pStyle w:val="NICCYBodyText"/>
            </w:pPr>
          </w:p>
        </w:tc>
        <w:tc>
          <w:tcPr>
            <w:tcW w:w="1417" w:type="dxa"/>
            <w:shd w:val="clear" w:color="auto" w:fill="FFC000"/>
          </w:tcPr>
          <w:p w14:paraId="15D3589F" w14:textId="77777777" w:rsidR="000D289E" w:rsidRDefault="000D289E" w:rsidP="000D289E">
            <w:pPr>
              <w:spacing w:line="276" w:lineRule="auto"/>
              <w:ind w:right="-433"/>
              <w:rPr>
                <w:rFonts w:ascii="Arial" w:eastAsiaTheme="minorEastAsia" w:hAnsi="Arial" w:cs="Arial"/>
                <w:color w:val="414042"/>
                <w:sz w:val="24"/>
                <w:szCs w:val="24"/>
              </w:rPr>
            </w:pPr>
          </w:p>
        </w:tc>
      </w:tr>
      <w:tr w:rsidR="00892462" w14:paraId="5DFCED25" w14:textId="77777777" w:rsidTr="00161B60">
        <w:tc>
          <w:tcPr>
            <w:tcW w:w="2689" w:type="dxa"/>
          </w:tcPr>
          <w:p w14:paraId="79E3284F" w14:textId="77777777" w:rsidR="000D289E" w:rsidRDefault="000D289E" w:rsidP="000D289E">
            <w:pPr>
              <w:pStyle w:val="NICCYBodyText"/>
            </w:pPr>
          </w:p>
        </w:tc>
        <w:tc>
          <w:tcPr>
            <w:tcW w:w="6237" w:type="dxa"/>
          </w:tcPr>
          <w:p w14:paraId="46BCF467" w14:textId="77777777" w:rsidR="00291170" w:rsidRPr="00291170" w:rsidRDefault="00291170" w:rsidP="00291170">
            <w:pPr>
              <w:rPr>
                <w:rFonts w:ascii="Arial" w:hAnsi="Arial" w:cs="Arial"/>
                <w:color w:val="000000" w:themeColor="text1"/>
                <w:sz w:val="24"/>
                <w:szCs w:val="24"/>
              </w:rPr>
            </w:pPr>
            <w:r w:rsidRPr="00291170">
              <w:rPr>
                <w:rFonts w:ascii="Arial" w:hAnsi="Arial" w:cs="Arial"/>
                <w:color w:val="000000" w:themeColor="text1"/>
                <w:sz w:val="24"/>
                <w:szCs w:val="24"/>
              </w:rPr>
              <w:t>4.3 Monitor prescribing data and ensure medication for mental health to children and young people is appropriate.</w:t>
            </w:r>
          </w:p>
          <w:p w14:paraId="1A8E6041" w14:textId="77777777" w:rsidR="000D289E" w:rsidRPr="00291170" w:rsidRDefault="000D289E" w:rsidP="000D289E">
            <w:pPr>
              <w:pStyle w:val="NICCYBodyText"/>
            </w:pPr>
          </w:p>
        </w:tc>
        <w:tc>
          <w:tcPr>
            <w:tcW w:w="1417" w:type="dxa"/>
            <w:shd w:val="clear" w:color="auto" w:fill="FFC000"/>
          </w:tcPr>
          <w:p w14:paraId="630F5356" w14:textId="77777777" w:rsidR="000D289E" w:rsidRDefault="000D289E" w:rsidP="000D289E">
            <w:pPr>
              <w:spacing w:line="276" w:lineRule="auto"/>
              <w:ind w:right="-433"/>
              <w:rPr>
                <w:rFonts w:ascii="Arial" w:eastAsiaTheme="minorEastAsia" w:hAnsi="Arial" w:cs="Arial"/>
                <w:color w:val="414042"/>
                <w:sz w:val="24"/>
                <w:szCs w:val="24"/>
              </w:rPr>
            </w:pPr>
          </w:p>
        </w:tc>
      </w:tr>
      <w:tr w:rsidR="00892462" w14:paraId="178166A3" w14:textId="77777777" w:rsidTr="00161B60">
        <w:tc>
          <w:tcPr>
            <w:tcW w:w="2689" w:type="dxa"/>
          </w:tcPr>
          <w:p w14:paraId="50B62135" w14:textId="77777777" w:rsidR="00291170" w:rsidRDefault="00291170" w:rsidP="00291170">
            <w:pPr>
              <w:pStyle w:val="NICCYBodyText"/>
            </w:pPr>
          </w:p>
        </w:tc>
        <w:tc>
          <w:tcPr>
            <w:tcW w:w="6237" w:type="dxa"/>
          </w:tcPr>
          <w:p w14:paraId="7624DC05" w14:textId="3B9CF09B" w:rsidR="00291170" w:rsidRPr="00291170" w:rsidRDefault="00291170" w:rsidP="00291170">
            <w:pPr>
              <w:pStyle w:val="NICCYBodyText"/>
            </w:pPr>
            <w:r w:rsidRPr="00291170">
              <w:rPr>
                <w:color w:val="000000" w:themeColor="text1"/>
              </w:rPr>
              <w:t>4.4 Fully implement psychological therapies in CAMHS, as per the existing 2010 Psychological Therapies Strategy.</w:t>
            </w:r>
          </w:p>
        </w:tc>
        <w:tc>
          <w:tcPr>
            <w:tcW w:w="1417" w:type="dxa"/>
            <w:shd w:val="clear" w:color="auto" w:fill="00B050"/>
          </w:tcPr>
          <w:p w14:paraId="7F19AFFD" w14:textId="77777777" w:rsidR="00291170" w:rsidRDefault="00291170" w:rsidP="00291170">
            <w:pPr>
              <w:spacing w:line="276" w:lineRule="auto"/>
              <w:ind w:right="-433"/>
              <w:rPr>
                <w:rFonts w:ascii="Arial" w:eastAsiaTheme="minorEastAsia" w:hAnsi="Arial" w:cs="Arial"/>
                <w:color w:val="414042"/>
                <w:sz w:val="24"/>
                <w:szCs w:val="24"/>
              </w:rPr>
            </w:pPr>
          </w:p>
        </w:tc>
      </w:tr>
      <w:tr w:rsidR="00892462" w14:paraId="151AB8EE" w14:textId="77777777" w:rsidTr="00161B60">
        <w:tc>
          <w:tcPr>
            <w:tcW w:w="2689" w:type="dxa"/>
          </w:tcPr>
          <w:p w14:paraId="2DF0C978" w14:textId="77777777" w:rsidR="00291170" w:rsidRDefault="00291170" w:rsidP="00291170">
            <w:pPr>
              <w:pStyle w:val="NICCYBodyText"/>
            </w:pPr>
          </w:p>
        </w:tc>
        <w:tc>
          <w:tcPr>
            <w:tcW w:w="6237" w:type="dxa"/>
          </w:tcPr>
          <w:p w14:paraId="096DCCCD" w14:textId="269ABB3E" w:rsidR="00291170" w:rsidRPr="00291170" w:rsidRDefault="00291170" w:rsidP="00291170">
            <w:pPr>
              <w:pStyle w:val="NICCYBodyText"/>
            </w:pPr>
            <w:r w:rsidRPr="00291170">
              <w:rPr>
                <w:color w:val="000000" w:themeColor="text1"/>
              </w:rPr>
              <w:t>4.5 Evaluate and analyse the need for Psychiatric Intensive Care provisions in Northern Ireland and make decision on the future need.</w:t>
            </w:r>
          </w:p>
        </w:tc>
        <w:tc>
          <w:tcPr>
            <w:tcW w:w="1417" w:type="dxa"/>
            <w:shd w:val="clear" w:color="auto" w:fill="FFC000"/>
          </w:tcPr>
          <w:p w14:paraId="54567D88" w14:textId="77777777" w:rsidR="00291170" w:rsidRDefault="00291170" w:rsidP="00291170">
            <w:pPr>
              <w:spacing w:line="276" w:lineRule="auto"/>
              <w:ind w:right="-433"/>
              <w:rPr>
                <w:rFonts w:ascii="Arial" w:eastAsiaTheme="minorEastAsia" w:hAnsi="Arial" w:cs="Arial"/>
                <w:color w:val="414042"/>
                <w:sz w:val="24"/>
                <w:szCs w:val="24"/>
              </w:rPr>
            </w:pPr>
          </w:p>
        </w:tc>
      </w:tr>
      <w:tr w:rsidR="00892462" w14:paraId="16D9BC4F" w14:textId="77777777" w:rsidTr="00161B60">
        <w:tc>
          <w:tcPr>
            <w:tcW w:w="2689" w:type="dxa"/>
          </w:tcPr>
          <w:p w14:paraId="20FC0085" w14:textId="77777777" w:rsidR="00291170" w:rsidRDefault="00291170" w:rsidP="00291170">
            <w:pPr>
              <w:pStyle w:val="NICCYBodyText"/>
            </w:pPr>
          </w:p>
        </w:tc>
        <w:tc>
          <w:tcPr>
            <w:tcW w:w="6237" w:type="dxa"/>
          </w:tcPr>
          <w:p w14:paraId="7EACBFE9" w14:textId="77C8798D" w:rsidR="00291170" w:rsidRPr="00291170" w:rsidRDefault="00291170" w:rsidP="00291170">
            <w:pPr>
              <w:pStyle w:val="NICCYBodyText"/>
            </w:pPr>
            <w:r w:rsidRPr="00291170">
              <w:rPr>
                <w:color w:val="000000" w:themeColor="text1"/>
              </w:rPr>
              <w:t xml:space="preserve">4.6 Evaluate and analyse the use of detentions in </w:t>
            </w:r>
            <w:proofErr w:type="spellStart"/>
            <w:r w:rsidRPr="00291170">
              <w:rPr>
                <w:color w:val="000000" w:themeColor="text1"/>
              </w:rPr>
              <w:t>Beechcroft</w:t>
            </w:r>
            <w:proofErr w:type="spellEnd"/>
            <w:r w:rsidRPr="00291170">
              <w:rPr>
                <w:color w:val="000000" w:themeColor="text1"/>
              </w:rPr>
              <w:t>.</w:t>
            </w:r>
          </w:p>
        </w:tc>
        <w:tc>
          <w:tcPr>
            <w:tcW w:w="1417" w:type="dxa"/>
            <w:shd w:val="clear" w:color="auto" w:fill="FF0000"/>
          </w:tcPr>
          <w:p w14:paraId="444B466E" w14:textId="77777777" w:rsidR="00291170" w:rsidRDefault="00291170" w:rsidP="00291170">
            <w:pPr>
              <w:spacing w:line="276" w:lineRule="auto"/>
              <w:ind w:right="-433"/>
              <w:rPr>
                <w:rFonts w:ascii="Arial" w:eastAsiaTheme="minorEastAsia" w:hAnsi="Arial" w:cs="Arial"/>
                <w:color w:val="414042"/>
                <w:sz w:val="24"/>
                <w:szCs w:val="24"/>
              </w:rPr>
            </w:pPr>
          </w:p>
        </w:tc>
      </w:tr>
      <w:tr w:rsidR="00892462" w14:paraId="55DE134A" w14:textId="77777777" w:rsidTr="00161B60">
        <w:tc>
          <w:tcPr>
            <w:tcW w:w="2689" w:type="dxa"/>
          </w:tcPr>
          <w:p w14:paraId="3280DA8E" w14:textId="77777777" w:rsidR="00291170" w:rsidRDefault="00291170" w:rsidP="00291170">
            <w:pPr>
              <w:pStyle w:val="NICCYBodyText"/>
            </w:pPr>
          </w:p>
        </w:tc>
        <w:tc>
          <w:tcPr>
            <w:tcW w:w="6237" w:type="dxa"/>
          </w:tcPr>
          <w:p w14:paraId="7102C241" w14:textId="4F2290ED" w:rsidR="00291170" w:rsidRPr="00291170" w:rsidRDefault="00291170" w:rsidP="00291170">
            <w:pPr>
              <w:pStyle w:val="NICCYBodyText"/>
            </w:pPr>
            <w:r w:rsidRPr="00291170">
              <w:rPr>
                <w:color w:val="000000" w:themeColor="text1"/>
              </w:rPr>
              <w:t>4.7 Review existing protocol for children on adult wards.</w:t>
            </w:r>
          </w:p>
        </w:tc>
        <w:tc>
          <w:tcPr>
            <w:tcW w:w="1417" w:type="dxa"/>
            <w:shd w:val="clear" w:color="auto" w:fill="FFC000"/>
          </w:tcPr>
          <w:p w14:paraId="11E33E6A" w14:textId="77777777" w:rsidR="00291170" w:rsidRDefault="00291170" w:rsidP="00291170">
            <w:pPr>
              <w:spacing w:line="276" w:lineRule="auto"/>
              <w:ind w:right="-433"/>
              <w:rPr>
                <w:rFonts w:ascii="Arial" w:eastAsiaTheme="minorEastAsia" w:hAnsi="Arial" w:cs="Arial"/>
                <w:color w:val="414042"/>
                <w:sz w:val="24"/>
                <w:szCs w:val="24"/>
              </w:rPr>
            </w:pPr>
          </w:p>
        </w:tc>
      </w:tr>
      <w:tr w:rsidR="00892462" w14:paraId="112F09DB" w14:textId="77777777" w:rsidTr="00161B60">
        <w:tc>
          <w:tcPr>
            <w:tcW w:w="2689" w:type="dxa"/>
          </w:tcPr>
          <w:p w14:paraId="216511EF" w14:textId="77777777" w:rsidR="00291170" w:rsidRDefault="00291170" w:rsidP="00291170">
            <w:pPr>
              <w:pStyle w:val="NICCYBodyText"/>
            </w:pPr>
          </w:p>
        </w:tc>
        <w:tc>
          <w:tcPr>
            <w:tcW w:w="6237" w:type="dxa"/>
          </w:tcPr>
          <w:p w14:paraId="53D6F8BC" w14:textId="77777777" w:rsidR="00291170" w:rsidRPr="00291170" w:rsidRDefault="00291170" w:rsidP="00291170">
            <w:pPr>
              <w:rPr>
                <w:rFonts w:ascii="Arial" w:hAnsi="Arial" w:cs="Arial"/>
                <w:color w:val="000000" w:themeColor="text1"/>
                <w:sz w:val="24"/>
                <w:szCs w:val="24"/>
              </w:rPr>
            </w:pPr>
            <w:r w:rsidRPr="00291170">
              <w:rPr>
                <w:rFonts w:ascii="Arial" w:hAnsi="Arial" w:cs="Arial"/>
                <w:color w:val="000000" w:themeColor="text1"/>
                <w:sz w:val="24"/>
                <w:szCs w:val="24"/>
              </w:rPr>
              <w:t>4.8 Review system of RQIA oversight of children treated for MH as in-patient on adult wards.</w:t>
            </w:r>
          </w:p>
          <w:p w14:paraId="791114D7" w14:textId="77777777" w:rsidR="00291170" w:rsidRPr="00291170" w:rsidRDefault="00291170" w:rsidP="00291170">
            <w:pPr>
              <w:rPr>
                <w:rFonts w:ascii="Arial" w:hAnsi="Arial" w:cs="Arial"/>
                <w:color w:val="000000" w:themeColor="text1"/>
                <w:sz w:val="24"/>
                <w:szCs w:val="24"/>
              </w:rPr>
            </w:pPr>
          </w:p>
          <w:p w14:paraId="3D6DB92B" w14:textId="1F59866D" w:rsidR="00291170" w:rsidRPr="00291170" w:rsidRDefault="00291170" w:rsidP="00291170">
            <w:pPr>
              <w:pStyle w:val="NICCYBodyText"/>
            </w:pPr>
            <w:r w:rsidRPr="00291170">
              <w:rPr>
                <w:color w:val="000000" w:themeColor="text1"/>
              </w:rPr>
              <w:t>Consideration given to the option of amending requirement under Art 118 of the Mental Health (Northern Ireland) Order 1986 and the relevant Direction</w:t>
            </w:r>
          </w:p>
        </w:tc>
        <w:tc>
          <w:tcPr>
            <w:tcW w:w="1417" w:type="dxa"/>
            <w:shd w:val="clear" w:color="auto" w:fill="FFC000"/>
          </w:tcPr>
          <w:p w14:paraId="35657B11" w14:textId="77777777" w:rsidR="00291170" w:rsidRDefault="00291170" w:rsidP="00291170">
            <w:pPr>
              <w:spacing w:line="276" w:lineRule="auto"/>
              <w:ind w:right="-433"/>
              <w:rPr>
                <w:rFonts w:ascii="Arial" w:eastAsiaTheme="minorEastAsia" w:hAnsi="Arial" w:cs="Arial"/>
                <w:color w:val="414042"/>
                <w:sz w:val="24"/>
                <w:szCs w:val="24"/>
              </w:rPr>
            </w:pPr>
          </w:p>
        </w:tc>
      </w:tr>
      <w:tr w:rsidR="00892462" w14:paraId="7A1D30B1" w14:textId="77777777" w:rsidTr="00161B60">
        <w:tc>
          <w:tcPr>
            <w:tcW w:w="2689" w:type="dxa"/>
          </w:tcPr>
          <w:p w14:paraId="794BA026" w14:textId="77777777" w:rsidR="00291170" w:rsidRDefault="00291170" w:rsidP="00291170">
            <w:pPr>
              <w:pStyle w:val="NICCYBodyText"/>
            </w:pPr>
          </w:p>
        </w:tc>
        <w:tc>
          <w:tcPr>
            <w:tcW w:w="6237" w:type="dxa"/>
          </w:tcPr>
          <w:p w14:paraId="654BD899" w14:textId="220918EE" w:rsidR="00291170" w:rsidRPr="00291170" w:rsidRDefault="00291170" w:rsidP="00291170">
            <w:pPr>
              <w:pStyle w:val="NICCYBodyText"/>
            </w:pPr>
            <w:r w:rsidRPr="00291170">
              <w:rPr>
                <w:color w:val="000000" w:themeColor="text1"/>
              </w:rPr>
              <w:t xml:space="preserve">4.9 Enhance the framework in relation to minimum care </w:t>
            </w:r>
            <w:r w:rsidRPr="00291170">
              <w:rPr>
                <w:color w:val="000000" w:themeColor="text1"/>
              </w:rPr>
              <w:lastRenderedPageBreak/>
              <w:t>standards in ED for children and young people who are presenting with a mental illness.</w:t>
            </w:r>
          </w:p>
        </w:tc>
        <w:tc>
          <w:tcPr>
            <w:tcW w:w="1417" w:type="dxa"/>
            <w:shd w:val="clear" w:color="auto" w:fill="FFC000"/>
          </w:tcPr>
          <w:p w14:paraId="29C15D18" w14:textId="77777777" w:rsidR="00291170" w:rsidRDefault="00291170" w:rsidP="00291170">
            <w:pPr>
              <w:spacing w:line="276" w:lineRule="auto"/>
              <w:ind w:right="-433"/>
              <w:rPr>
                <w:rFonts w:ascii="Arial" w:eastAsiaTheme="minorEastAsia" w:hAnsi="Arial" w:cs="Arial"/>
                <w:color w:val="414042"/>
                <w:sz w:val="24"/>
                <w:szCs w:val="24"/>
              </w:rPr>
            </w:pPr>
          </w:p>
        </w:tc>
      </w:tr>
      <w:tr w:rsidR="00892462" w14:paraId="31B1428A" w14:textId="77777777" w:rsidTr="00161B60">
        <w:tc>
          <w:tcPr>
            <w:tcW w:w="2689" w:type="dxa"/>
          </w:tcPr>
          <w:p w14:paraId="207B4070" w14:textId="77777777" w:rsidR="00291170" w:rsidRDefault="00291170" w:rsidP="00291170">
            <w:pPr>
              <w:pStyle w:val="NICCYBodyText"/>
            </w:pPr>
          </w:p>
        </w:tc>
        <w:tc>
          <w:tcPr>
            <w:tcW w:w="6237" w:type="dxa"/>
          </w:tcPr>
          <w:p w14:paraId="12A721E3" w14:textId="77777777" w:rsidR="00291170" w:rsidRPr="00291170" w:rsidRDefault="00291170" w:rsidP="00291170">
            <w:pPr>
              <w:rPr>
                <w:rFonts w:ascii="Arial" w:hAnsi="Arial" w:cs="Arial"/>
                <w:color w:val="000000" w:themeColor="text1"/>
                <w:sz w:val="24"/>
                <w:szCs w:val="24"/>
              </w:rPr>
            </w:pPr>
            <w:r w:rsidRPr="00291170">
              <w:rPr>
                <w:rFonts w:ascii="Arial" w:hAnsi="Arial" w:cs="Arial"/>
                <w:color w:val="000000" w:themeColor="text1"/>
                <w:sz w:val="24"/>
                <w:szCs w:val="24"/>
              </w:rPr>
              <w:t>4.10 Improve contact opportunities for children and young people who are waiting for an appointment or are in between appointments, by considering how to strengthen case worker contact between appointments.</w:t>
            </w:r>
          </w:p>
          <w:p w14:paraId="3363BD10" w14:textId="77777777" w:rsidR="00291170" w:rsidRDefault="00291170" w:rsidP="00291170">
            <w:pPr>
              <w:pStyle w:val="NICCYBodyText"/>
            </w:pPr>
          </w:p>
        </w:tc>
        <w:tc>
          <w:tcPr>
            <w:tcW w:w="1417" w:type="dxa"/>
            <w:shd w:val="clear" w:color="auto" w:fill="00B050"/>
          </w:tcPr>
          <w:p w14:paraId="1458E761" w14:textId="77777777" w:rsidR="00291170" w:rsidRDefault="00291170" w:rsidP="00291170">
            <w:pPr>
              <w:spacing w:line="276" w:lineRule="auto"/>
              <w:ind w:right="-433"/>
              <w:rPr>
                <w:rFonts w:ascii="Arial" w:eastAsiaTheme="minorEastAsia" w:hAnsi="Arial" w:cs="Arial"/>
                <w:color w:val="414042"/>
                <w:sz w:val="24"/>
                <w:szCs w:val="24"/>
              </w:rPr>
            </w:pPr>
          </w:p>
        </w:tc>
      </w:tr>
      <w:tr w:rsidR="00892462" w14:paraId="0D336315" w14:textId="77777777" w:rsidTr="00161B60">
        <w:tc>
          <w:tcPr>
            <w:tcW w:w="2689" w:type="dxa"/>
          </w:tcPr>
          <w:p w14:paraId="7DB3EEB9" w14:textId="60B85C7A" w:rsidR="00291170" w:rsidRPr="00892462" w:rsidRDefault="00291170" w:rsidP="00291170">
            <w:pPr>
              <w:pStyle w:val="NICCYBodyText"/>
              <w:rPr>
                <w:b/>
              </w:rPr>
            </w:pPr>
            <w:r w:rsidRPr="00892462">
              <w:rPr>
                <w:b/>
              </w:rPr>
              <w:t>5 Moving from Child to Adult Services</w:t>
            </w:r>
          </w:p>
        </w:tc>
        <w:tc>
          <w:tcPr>
            <w:tcW w:w="6237" w:type="dxa"/>
          </w:tcPr>
          <w:p w14:paraId="120DA67B" w14:textId="77777777" w:rsidR="00291170" w:rsidRPr="00892462" w:rsidRDefault="00291170" w:rsidP="00291170">
            <w:pPr>
              <w:rPr>
                <w:rFonts w:ascii="Arial" w:hAnsi="Arial" w:cs="Arial"/>
                <w:color w:val="000000" w:themeColor="text1"/>
                <w:sz w:val="24"/>
                <w:szCs w:val="24"/>
              </w:rPr>
            </w:pPr>
            <w:r w:rsidRPr="00892462">
              <w:rPr>
                <w:rFonts w:ascii="Arial" w:hAnsi="Arial" w:cs="Arial"/>
                <w:color w:val="000000" w:themeColor="text1"/>
                <w:sz w:val="24"/>
                <w:szCs w:val="24"/>
              </w:rPr>
              <w:t xml:space="preserve">5.1 Create an improved transitions procedure, including </w:t>
            </w:r>
            <w:proofErr w:type="spellStart"/>
            <w:r w:rsidRPr="00892462">
              <w:rPr>
                <w:rFonts w:ascii="Arial" w:hAnsi="Arial" w:cs="Arial"/>
                <w:color w:val="000000" w:themeColor="text1"/>
                <w:sz w:val="24"/>
                <w:szCs w:val="24"/>
              </w:rPr>
              <w:t>i</w:t>
            </w:r>
            <w:proofErr w:type="spellEnd"/>
            <w:r w:rsidRPr="00892462">
              <w:rPr>
                <w:rFonts w:ascii="Arial" w:hAnsi="Arial" w:cs="Arial"/>
                <w:color w:val="000000" w:themeColor="text1"/>
                <w:sz w:val="24"/>
                <w:szCs w:val="24"/>
              </w:rPr>
              <w:t>-Thrive app development project.</w:t>
            </w:r>
          </w:p>
          <w:p w14:paraId="30B880F2" w14:textId="77777777" w:rsidR="00291170" w:rsidRPr="00892462" w:rsidRDefault="00291170" w:rsidP="00291170">
            <w:pPr>
              <w:rPr>
                <w:rFonts w:ascii="Arial" w:hAnsi="Arial" w:cs="Arial"/>
                <w:color w:val="000000" w:themeColor="text1"/>
                <w:sz w:val="24"/>
                <w:szCs w:val="24"/>
              </w:rPr>
            </w:pPr>
          </w:p>
          <w:p w14:paraId="31378999" w14:textId="77777777" w:rsidR="00291170" w:rsidRPr="00892462" w:rsidRDefault="00291170" w:rsidP="00291170">
            <w:pPr>
              <w:rPr>
                <w:rFonts w:ascii="Arial" w:hAnsi="Arial" w:cs="Arial"/>
                <w:color w:val="000000" w:themeColor="text1"/>
                <w:sz w:val="24"/>
                <w:szCs w:val="24"/>
              </w:rPr>
            </w:pPr>
            <w:r w:rsidRPr="00892462">
              <w:rPr>
                <w:rFonts w:ascii="Arial" w:hAnsi="Arial" w:cs="Arial"/>
                <w:color w:val="000000" w:themeColor="text1"/>
                <w:sz w:val="24"/>
                <w:szCs w:val="24"/>
              </w:rPr>
              <w:t>Consider bridging service for 16-25 year olds (any change to existing policy will require Ministerial decision).</w:t>
            </w:r>
          </w:p>
          <w:p w14:paraId="7ADA3A7F" w14:textId="77777777" w:rsidR="00291170" w:rsidRPr="00892462" w:rsidRDefault="00291170" w:rsidP="00291170">
            <w:pPr>
              <w:pStyle w:val="NICCYBodyText"/>
            </w:pPr>
          </w:p>
        </w:tc>
        <w:tc>
          <w:tcPr>
            <w:tcW w:w="1417" w:type="dxa"/>
            <w:shd w:val="clear" w:color="auto" w:fill="00B050"/>
          </w:tcPr>
          <w:p w14:paraId="21030DC1" w14:textId="77777777" w:rsidR="00291170" w:rsidRDefault="00291170" w:rsidP="00291170">
            <w:pPr>
              <w:spacing w:line="276" w:lineRule="auto"/>
              <w:ind w:right="-433"/>
              <w:rPr>
                <w:rFonts w:ascii="Arial" w:eastAsiaTheme="minorEastAsia" w:hAnsi="Arial" w:cs="Arial"/>
                <w:color w:val="414042"/>
                <w:sz w:val="24"/>
                <w:szCs w:val="24"/>
              </w:rPr>
            </w:pPr>
          </w:p>
        </w:tc>
      </w:tr>
      <w:tr w:rsidR="00892462" w14:paraId="264DC89E" w14:textId="77777777" w:rsidTr="00161B60">
        <w:tc>
          <w:tcPr>
            <w:tcW w:w="2689" w:type="dxa"/>
          </w:tcPr>
          <w:p w14:paraId="14DE1320" w14:textId="77777777" w:rsidR="00291170" w:rsidRDefault="00291170" w:rsidP="00291170">
            <w:pPr>
              <w:pStyle w:val="NICCYBodyText"/>
            </w:pPr>
          </w:p>
        </w:tc>
        <w:tc>
          <w:tcPr>
            <w:tcW w:w="6237" w:type="dxa"/>
          </w:tcPr>
          <w:p w14:paraId="269081FA" w14:textId="76602A6B" w:rsidR="00291170" w:rsidRPr="00892462" w:rsidRDefault="00291170" w:rsidP="00291170">
            <w:pPr>
              <w:pStyle w:val="NICCYBodyText"/>
            </w:pPr>
            <w:r w:rsidRPr="00892462">
              <w:rPr>
                <w:color w:val="000000" w:themeColor="text1"/>
              </w:rPr>
              <w:t>5.2 Develop a transition dataset as part of the CAMHS dataset.</w:t>
            </w:r>
          </w:p>
        </w:tc>
        <w:tc>
          <w:tcPr>
            <w:tcW w:w="1417" w:type="dxa"/>
            <w:shd w:val="clear" w:color="auto" w:fill="FFC000"/>
          </w:tcPr>
          <w:p w14:paraId="10D71503" w14:textId="77777777" w:rsidR="00291170" w:rsidRDefault="00291170" w:rsidP="00291170">
            <w:pPr>
              <w:spacing w:line="276" w:lineRule="auto"/>
              <w:ind w:right="-433"/>
              <w:rPr>
                <w:rFonts w:ascii="Arial" w:eastAsiaTheme="minorEastAsia" w:hAnsi="Arial" w:cs="Arial"/>
                <w:color w:val="414042"/>
                <w:sz w:val="24"/>
                <w:szCs w:val="24"/>
              </w:rPr>
            </w:pPr>
          </w:p>
        </w:tc>
      </w:tr>
      <w:tr w:rsidR="00892462" w14:paraId="17922DEF" w14:textId="77777777" w:rsidTr="00161B60">
        <w:tc>
          <w:tcPr>
            <w:tcW w:w="2689" w:type="dxa"/>
          </w:tcPr>
          <w:p w14:paraId="34BE84B8" w14:textId="77777777" w:rsidR="00291170" w:rsidRDefault="00291170" w:rsidP="00291170">
            <w:pPr>
              <w:pStyle w:val="NICCYBodyText"/>
            </w:pPr>
          </w:p>
        </w:tc>
        <w:tc>
          <w:tcPr>
            <w:tcW w:w="6237" w:type="dxa"/>
          </w:tcPr>
          <w:p w14:paraId="3F2D0F61" w14:textId="77777777" w:rsidR="00892462" w:rsidRPr="00892462" w:rsidRDefault="00892462" w:rsidP="00892462">
            <w:pPr>
              <w:rPr>
                <w:rFonts w:ascii="Arial" w:hAnsi="Arial" w:cs="Arial"/>
                <w:color w:val="000000" w:themeColor="text1"/>
                <w:sz w:val="24"/>
                <w:szCs w:val="24"/>
              </w:rPr>
            </w:pPr>
            <w:r w:rsidRPr="00892462">
              <w:rPr>
                <w:rFonts w:ascii="Arial" w:hAnsi="Arial" w:cs="Arial"/>
                <w:color w:val="000000" w:themeColor="text1"/>
                <w:sz w:val="24"/>
                <w:szCs w:val="24"/>
              </w:rPr>
              <w:t>5.3 New guidance for those who do not transition from CAMHS to adult services.</w:t>
            </w:r>
          </w:p>
          <w:p w14:paraId="0BF6603D" w14:textId="77777777" w:rsidR="00291170" w:rsidRPr="00892462" w:rsidRDefault="00291170" w:rsidP="00291170">
            <w:pPr>
              <w:pStyle w:val="NICCYBodyText"/>
            </w:pPr>
          </w:p>
        </w:tc>
        <w:tc>
          <w:tcPr>
            <w:tcW w:w="1417" w:type="dxa"/>
            <w:shd w:val="clear" w:color="auto" w:fill="FFC000"/>
          </w:tcPr>
          <w:p w14:paraId="05D6AC07" w14:textId="77777777" w:rsidR="00291170" w:rsidRDefault="00291170" w:rsidP="00291170">
            <w:pPr>
              <w:spacing w:line="276" w:lineRule="auto"/>
              <w:ind w:right="-433"/>
              <w:rPr>
                <w:rFonts w:ascii="Arial" w:eastAsiaTheme="minorEastAsia" w:hAnsi="Arial" w:cs="Arial"/>
                <w:color w:val="414042"/>
                <w:sz w:val="24"/>
                <w:szCs w:val="24"/>
              </w:rPr>
            </w:pPr>
          </w:p>
        </w:tc>
      </w:tr>
      <w:tr w:rsidR="00892462" w14:paraId="63357BEA" w14:textId="77777777" w:rsidTr="00161B60">
        <w:tc>
          <w:tcPr>
            <w:tcW w:w="2689" w:type="dxa"/>
          </w:tcPr>
          <w:p w14:paraId="0FA480AE" w14:textId="68F5EC1A" w:rsidR="00892462" w:rsidRPr="00892462" w:rsidRDefault="00892462" w:rsidP="00892462">
            <w:pPr>
              <w:pStyle w:val="NICCYBodyText"/>
              <w:rPr>
                <w:b/>
              </w:rPr>
            </w:pPr>
            <w:r w:rsidRPr="00892462">
              <w:rPr>
                <w:b/>
              </w:rPr>
              <w:t>6 Flexible Treatment Options</w:t>
            </w:r>
          </w:p>
        </w:tc>
        <w:tc>
          <w:tcPr>
            <w:tcW w:w="6237" w:type="dxa"/>
          </w:tcPr>
          <w:p w14:paraId="28018F21" w14:textId="77777777" w:rsidR="00892462" w:rsidRPr="00892462" w:rsidRDefault="00892462" w:rsidP="00892462">
            <w:pPr>
              <w:rPr>
                <w:rFonts w:ascii="Arial" w:hAnsi="Arial" w:cs="Arial"/>
                <w:color w:val="000000" w:themeColor="text1"/>
                <w:sz w:val="24"/>
                <w:szCs w:val="24"/>
              </w:rPr>
            </w:pPr>
            <w:r w:rsidRPr="00892462">
              <w:rPr>
                <w:rFonts w:ascii="Arial" w:hAnsi="Arial" w:cs="Arial"/>
                <w:color w:val="000000" w:themeColor="text1"/>
                <w:sz w:val="24"/>
                <w:szCs w:val="24"/>
              </w:rPr>
              <w:t>6.1 Better complaints structures for children and young people, including consideration of:</w:t>
            </w:r>
          </w:p>
          <w:p w14:paraId="5EDCA2A7" w14:textId="77777777" w:rsidR="00892462" w:rsidRPr="00892462" w:rsidRDefault="00892462" w:rsidP="00892462">
            <w:pPr>
              <w:rPr>
                <w:rFonts w:ascii="Arial" w:hAnsi="Arial" w:cs="Arial"/>
                <w:color w:val="000000" w:themeColor="text1"/>
                <w:sz w:val="24"/>
                <w:szCs w:val="24"/>
              </w:rPr>
            </w:pPr>
          </w:p>
          <w:p w14:paraId="5158CD50" w14:textId="77777777" w:rsidR="00892462" w:rsidRPr="00892462" w:rsidRDefault="00892462" w:rsidP="00892462">
            <w:pPr>
              <w:pStyle w:val="ListParagraph"/>
              <w:numPr>
                <w:ilvl w:val="0"/>
                <w:numId w:val="40"/>
              </w:numPr>
              <w:rPr>
                <w:rFonts w:ascii="Arial" w:hAnsi="Arial" w:cs="Arial"/>
                <w:color w:val="000000" w:themeColor="text1"/>
                <w:sz w:val="24"/>
                <w:szCs w:val="24"/>
              </w:rPr>
            </w:pPr>
            <w:r w:rsidRPr="00892462">
              <w:rPr>
                <w:rFonts w:ascii="Arial" w:hAnsi="Arial" w:cs="Arial"/>
                <w:color w:val="000000" w:themeColor="text1"/>
                <w:sz w:val="24"/>
                <w:szCs w:val="24"/>
              </w:rPr>
              <w:t>Co-produce user friendly leaflets</w:t>
            </w:r>
          </w:p>
          <w:p w14:paraId="56C95E70" w14:textId="77777777" w:rsidR="00892462" w:rsidRPr="00892462" w:rsidRDefault="00892462" w:rsidP="00892462">
            <w:pPr>
              <w:pStyle w:val="ListParagraph"/>
              <w:numPr>
                <w:ilvl w:val="0"/>
                <w:numId w:val="40"/>
              </w:numPr>
              <w:rPr>
                <w:rFonts w:ascii="Arial" w:hAnsi="Arial" w:cs="Arial"/>
                <w:color w:val="000000" w:themeColor="text1"/>
                <w:sz w:val="24"/>
                <w:szCs w:val="24"/>
              </w:rPr>
            </w:pPr>
            <w:r w:rsidRPr="00892462">
              <w:rPr>
                <w:rFonts w:ascii="Arial" w:hAnsi="Arial" w:cs="Arial"/>
                <w:color w:val="000000" w:themeColor="text1"/>
                <w:sz w:val="24"/>
                <w:szCs w:val="24"/>
              </w:rPr>
              <w:t>Advocates (as part of MCA/ amendments to MHO) – may require Ministerial decision</w:t>
            </w:r>
          </w:p>
          <w:p w14:paraId="0638C981" w14:textId="77777777" w:rsidR="00892462" w:rsidRPr="00892462" w:rsidRDefault="00892462" w:rsidP="00892462">
            <w:pPr>
              <w:pStyle w:val="ListParagraph"/>
              <w:ind w:left="360"/>
              <w:rPr>
                <w:rFonts w:ascii="Arial" w:hAnsi="Arial" w:cs="Arial"/>
                <w:color w:val="000000" w:themeColor="text1"/>
                <w:sz w:val="24"/>
                <w:szCs w:val="24"/>
              </w:rPr>
            </w:pPr>
          </w:p>
          <w:p w14:paraId="34E9409E" w14:textId="7BEA4EB8" w:rsidR="00892462" w:rsidRPr="00892462" w:rsidRDefault="00892462" w:rsidP="00892462">
            <w:pPr>
              <w:rPr>
                <w:sz w:val="24"/>
                <w:szCs w:val="24"/>
              </w:rPr>
            </w:pPr>
            <w:r w:rsidRPr="00892462">
              <w:rPr>
                <w:rFonts w:ascii="Arial" w:hAnsi="Arial" w:cs="Arial"/>
                <w:color w:val="000000" w:themeColor="text1"/>
                <w:sz w:val="24"/>
                <w:szCs w:val="24"/>
              </w:rPr>
              <w:t xml:space="preserve">Build on existing advocacy systems (such as VOYPIC in </w:t>
            </w:r>
            <w:proofErr w:type="spellStart"/>
            <w:r w:rsidRPr="00892462">
              <w:rPr>
                <w:rFonts w:ascii="Arial" w:hAnsi="Arial" w:cs="Arial"/>
                <w:color w:val="000000" w:themeColor="text1"/>
                <w:sz w:val="24"/>
                <w:szCs w:val="24"/>
              </w:rPr>
              <w:t>Beechcroft</w:t>
            </w:r>
            <w:proofErr w:type="spellEnd"/>
            <w:r w:rsidRPr="00892462">
              <w:rPr>
                <w:rFonts w:ascii="Arial" w:hAnsi="Arial" w:cs="Arial"/>
                <w:color w:val="000000" w:themeColor="text1"/>
                <w:sz w:val="24"/>
                <w:szCs w:val="24"/>
              </w:rPr>
              <w:t>)</w:t>
            </w:r>
          </w:p>
        </w:tc>
        <w:tc>
          <w:tcPr>
            <w:tcW w:w="1417" w:type="dxa"/>
            <w:shd w:val="clear" w:color="auto" w:fill="FF0000"/>
          </w:tcPr>
          <w:p w14:paraId="7360CA15" w14:textId="77777777" w:rsidR="00892462" w:rsidRDefault="00892462" w:rsidP="00892462">
            <w:pPr>
              <w:spacing w:line="276" w:lineRule="auto"/>
              <w:ind w:right="-433"/>
              <w:rPr>
                <w:rFonts w:ascii="Arial" w:eastAsiaTheme="minorEastAsia" w:hAnsi="Arial" w:cs="Arial"/>
                <w:color w:val="414042"/>
                <w:sz w:val="24"/>
                <w:szCs w:val="24"/>
              </w:rPr>
            </w:pPr>
          </w:p>
        </w:tc>
      </w:tr>
      <w:tr w:rsidR="00892462" w14:paraId="5C09366F" w14:textId="77777777" w:rsidTr="00161B60">
        <w:tc>
          <w:tcPr>
            <w:tcW w:w="2689" w:type="dxa"/>
          </w:tcPr>
          <w:p w14:paraId="0792D78E" w14:textId="77777777" w:rsidR="00892462" w:rsidRDefault="00892462" w:rsidP="00892462">
            <w:pPr>
              <w:pStyle w:val="NICCYBodyText"/>
            </w:pPr>
          </w:p>
        </w:tc>
        <w:tc>
          <w:tcPr>
            <w:tcW w:w="6237" w:type="dxa"/>
          </w:tcPr>
          <w:p w14:paraId="056144BD" w14:textId="77777777" w:rsidR="00892462" w:rsidRPr="00892462" w:rsidRDefault="00892462" w:rsidP="00892462">
            <w:pPr>
              <w:rPr>
                <w:rFonts w:ascii="Arial" w:hAnsi="Arial" w:cs="Arial"/>
                <w:color w:val="000000" w:themeColor="text1"/>
                <w:sz w:val="24"/>
                <w:szCs w:val="24"/>
              </w:rPr>
            </w:pPr>
            <w:r w:rsidRPr="00892462">
              <w:rPr>
                <w:rFonts w:ascii="Arial" w:hAnsi="Arial" w:cs="Arial"/>
                <w:color w:val="000000" w:themeColor="text1"/>
                <w:sz w:val="24"/>
                <w:szCs w:val="24"/>
              </w:rPr>
              <w:t xml:space="preserve">6.2 Increase children and young people involvement in service evaluation and development. </w:t>
            </w:r>
          </w:p>
          <w:p w14:paraId="7F96ADEB" w14:textId="77777777" w:rsidR="00892462" w:rsidRPr="00892462" w:rsidRDefault="00892462" w:rsidP="00892462">
            <w:pPr>
              <w:rPr>
                <w:rFonts w:ascii="Arial" w:hAnsi="Arial" w:cs="Arial"/>
                <w:color w:val="000000" w:themeColor="text1"/>
                <w:sz w:val="24"/>
                <w:szCs w:val="24"/>
              </w:rPr>
            </w:pPr>
          </w:p>
          <w:p w14:paraId="27641145" w14:textId="529B1777" w:rsidR="00892462" w:rsidRPr="00892462" w:rsidRDefault="00892462" w:rsidP="00892462">
            <w:pPr>
              <w:pStyle w:val="NICCYBodyText"/>
            </w:pPr>
            <w:r w:rsidRPr="00892462">
              <w:rPr>
                <w:color w:val="000000" w:themeColor="text1"/>
              </w:rPr>
              <w:t>Consider development of an action plan and setting up a mental health youth forum in each Trust to support this action.</w:t>
            </w:r>
          </w:p>
        </w:tc>
        <w:tc>
          <w:tcPr>
            <w:tcW w:w="1417" w:type="dxa"/>
            <w:shd w:val="clear" w:color="auto" w:fill="FF0000"/>
          </w:tcPr>
          <w:p w14:paraId="44F73DC3" w14:textId="77777777" w:rsidR="00892462" w:rsidRDefault="00892462" w:rsidP="00892462">
            <w:pPr>
              <w:spacing w:line="276" w:lineRule="auto"/>
              <w:ind w:right="-433"/>
              <w:rPr>
                <w:rFonts w:ascii="Arial" w:eastAsiaTheme="minorEastAsia" w:hAnsi="Arial" w:cs="Arial"/>
                <w:color w:val="414042"/>
                <w:sz w:val="24"/>
                <w:szCs w:val="24"/>
              </w:rPr>
            </w:pPr>
          </w:p>
        </w:tc>
      </w:tr>
      <w:tr w:rsidR="00892462" w14:paraId="119E67AA" w14:textId="77777777" w:rsidTr="00161B60">
        <w:tc>
          <w:tcPr>
            <w:tcW w:w="2689" w:type="dxa"/>
          </w:tcPr>
          <w:p w14:paraId="1258AD18" w14:textId="77777777" w:rsidR="00892462" w:rsidRDefault="00892462" w:rsidP="00892462">
            <w:pPr>
              <w:pStyle w:val="NICCYBodyText"/>
            </w:pPr>
          </w:p>
        </w:tc>
        <w:tc>
          <w:tcPr>
            <w:tcW w:w="6237" w:type="dxa"/>
          </w:tcPr>
          <w:p w14:paraId="52114C28" w14:textId="77777777" w:rsidR="00892462" w:rsidRPr="00892462" w:rsidRDefault="00892462" w:rsidP="00892462">
            <w:pPr>
              <w:rPr>
                <w:rFonts w:ascii="Arial" w:hAnsi="Arial" w:cs="Arial"/>
                <w:color w:val="000000" w:themeColor="text1"/>
                <w:sz w:val="24"/>
                <w:szCs w:val="24"/>
              </w:rPr>
            </w:pPr>
            <w:r w:rsidRPr="00892462">
              <w:rPr>
                <w:rFonts w:ascii="Arial" w:hAnsi="Arial" w:cs="Arial"/>
                <w:color w:val="000000" w:themeColor="text1"/>
                <w:sz w:val="24"/>
                <w:szCs w:val="24"/>
              </w:rPr>
              <w:t>6.3 Develop treatment protocols where psychological therapies are core of CAMHS services.</w:t>
            </w:r>
          </w:p>
          <w:p w14:paraId="7CA38394" w14:textId="77777777" w:rsidR="00892462" w:rsidRPr="00892462" w:rsidRDefault="00892462" w:rsidP="00892462">
            <w:pPr>
              <w:rPr>
                <w:rFonts w:ascii="Arial" w:hAnsi="Arial" w:cs="Arial"/>
                <w:color w:val="000000" w:themeColor="text1"/>
                <w:sz w:val="24"/>
                <w:szCs w:val="24"/>
              </w:rPr>
            </w:pPr>
          </w:p>
          <w:p w14:paraId="6EF51F59" w14:textId="27FBB7EF" w:rsidR="00892462" w:rsidRPr="00892462" w:rsidRDefault="00892462" w:rsidP="00892462">
            <w:pPr>
              <w:pStyle w:val="NICCYBodyText"/>
            </w:pPr>
            <w:r w:rsidRPr="00892462">
              <w:rPr>
                <w:color w:val="000000" w:themeColor="text1"/>
              </w:rPr>
              <w:t>Link to Action 4.4 and 2010 Psychological Therapies Strategy.</w:t>
            </w:r>
          </w:p>
        </w:tc>
        <w:tc>
          <w:tcPr>
            <w:tcW w:w="1417" w:type="dxa"/>
            <w:shd w:val="clear" w:color="auto" w:fill="FFC000"/>
          </w:tcPr>
          <w:p w14:paraId="4CC08AEC" w14:textId="77777777" w:rsidR="00892462" w:rsidRDefault="00892462" w:rsidP="00892462">
            <w:pPr>
              <w:spacing w:line="276" w:lineRule="auto"/>
              <w:ind w:right="-433"/>
              <w:rPr>
                <w:rFonts w:ascii="Arial" w:eastAsiaTheme="minorEastAsia" w:hAnsi="Arial" w:cs="Arial"/>
                <w:color w:val="414042"/>
                <w:sz w:val="24"/>
                <w:szCs w:val="24"/>
              </w:rPr>
            </w:pPr>
          </w:p>
        </w:tc>
      </w:tr>
      <w:tr w:rsidR="00892462" w14:paraId="5223EB24" w14:textId="77777777" w:rsidTr="00161B60">
        <w:tc>
          <w:tcPr>
            <w:tcW w:w="2689" w:type="dxa"/>
          </w:tcPr>
          <w:p w14:paraId="7D27B539" w14:textId="558BE456" w:rsidR="00892462" w:rsidRPr="00892462" w:rsidRDefault="00892462" w:rsidP="00892462">
            <w:pPr>
              <w:pStyle w:val="NICCYBodyText"/>
              <w:rPr>
                <w:b/>
              </w:rPr>
            </w:pPr>
            <w:r>
              <w:rPr>
                <w:b/>
              </w:rPr>
              <w:lastRenderedPageBreak/>
              <w:t>7 Mental Health Awareness and Understanding</w:t>
            </w:r>
          </w:p>
        </w:tc>
        <w:tc>
          <w:tcPr>
            <w:tcW w:w="6237" w:type="dxa"/>
          </w:tcPr>
          <w:p w14:paraId="7E8AA70D" w14:textId="77777777" w:rsidR="00892462" w:rsidRPr="006B26BA" w:rsidRDefault="00892462" w:rsidP="00892462">
            <w:pPr>
              <w:rPr>
                <w:rFonts w:ascii="Arial" w:hAnsi="Arial" w:cs="Arial"/>
                <w:sz w:val="24"/>
                <w:szCs w:val="24"/>
              </w:rPr>
            </w:pPr>
            <w:r w:rsidRPr="006B26BA">
              <w:rPr>
                <w:rFonts w:ascii="Arial" w:hAnsi="Arial" w:cs="Arial"/>
                <w:sz w:val="24"/>
                <w:szCs w:val="24"/>
              </w:rPr>
              <w:t>7.1 Promotion, prevention and early intervention around emotional wellbeing will be at the core of The Emotional Health and Wellbeing Framework (the Wellbeing Framework) being developed jointly by DE, PHA, DoH and the Education Authority.</w:t>
            </w:r>
          </w:p>
          <w:p w14:paraId="28378D25" w14:textId="77777777" w:rsidR="00892462" w:rsidRPr="006B26BA" w:rsidRDefault="00892462" w:rsidP="00892462">
            <w:pPr>
              <w:rPr>
                <w:rFonts w:ascii="Arial" w:hAnsi="Arial" w:cs="Arial"/>
                <w:sz w:val="24"/>
                <w:szCs w:val="24"/>
              </w:rPr>
            </w:pPr>
          </w:p>
          <w:p w14:paraId="762E7BCF" w14:textId="0C0835FA" w:rsidR="00892462" w:rsidRPr="006B26BA" w:rsidRDefault="00892462" w:rsidP="00892462">
            <w:pPr>
              <w:rPr>
                <w:rFonts w:ascii="Arial" w:hAnsi="Arial" w:cs="Arial"/>
                <w:sz w:val="24"/>
                <w:szCs w:val="24"/>
              </w:rPr>
            </w:pPr>
            <w:r w:rsidRPr="006B26BA">
              <w:rPr>
                <w:rFonts w:ascii="Arial" w:hAnsi="Arial" w:cs="Arial"/>
                <w:sz w:val="24"/>
                <w:szCs w:val="24"/>
              </w:rPr>
              <w:t xml:space="preserve">This will include use of the curriculum and curriculum based resources available to support teachers in its delivery. </w:t>
            </w:r>
          </w:p>
          <w:p w14:paraId="320B636E" w14:textId="77777777" w:rsidR="00892462" w:rsidRPr="006B26BA" w:rsidRDefault="00892462" w:rsidP="00892462">
            <w:pPr>
              <w:rPr>
                <w:rFonts w:ascii="Arial" w:hAnsi="Arial" w:cs="Arial"/>
                <w:sz w:val="24"/>
                <w:szCs w:val="24"/>
              </w:rPr>
            </w:pPr>
          </w:p>
          <w:p w14:paraId="7050BD51" w14:textId="77777777" w:rsidR="00892462" w:rsidRPr="006B26BA" w:rsidRDefault="00892462" w:rsidP="00892462">
            <w:pPr>
              <w:rPr>
                <w:rFonts w:ascii="Arial" w:hAnsi="Arial" w:cs="Arial"/>
                <w:sz w:val="24"/>
                <w:szCs w:val="24"/>
              </w:rPr>
            </w:pPr>
            <w:r w:rsidRPr="006B26BA">
              <w:rPr>
                <w:rFonts w:ascii="Arial" w:hAnsi="Arial" w:cs="Arial"/>
                <w:sz w:val="24"/>
                <w:szCs w:val="24"/>
              </w:rPr>
              <w:t>Reverse The trend</w:t>
            </w:r>
          </w:p>
          <w:p w14:paraId="5555407B" w14:textId="77777777" w:rsidR="00892462" w:rsidRPr="006B26BA" w:rsidRDefault="00892462" w:rsidP="00892462">
            <w:pPr>
              <w:rPr>
                <w:rFonts w:ascii="Arial" w:hAnsi="Arial" w:cs="Arial"/>
                <w:sz w:val="24"/>
                <w:szCs w:val="24"/>
              </w:rPr>
            </w:pPr>
          </w:p>
          <w:p w14:paraId="42978AB2" w14:textId="77777777" w:rsidR="00892462" w:rsidRPr="006B26BA" w:rsidRDefault="00892462" w:rsidP="00892462">
            <w:pPr>
              <w:rPr>
                <w:rFonts w:ascii="Arial" w:hAnsi="Arial" w:cs="Arial"/>
                <w:sz w:val="24"/>
                <w:szCs w:val="24"/>
              </w:rPr>
            </w:pPr>
            <w:r w:rsidRPr="006B26BA">
              <w:rPr>
                <w:rFonts w:ascii="Arial" w:hAnsi="Arial" w:cs="Arial"/>
                <w:sz w:val="24"/>
                <w:szCs w:val="24"/>
              </w:rPr>
              <w:t>DE Wellbeing Fund</w:t>
            </w:r>
          </w:p>
          <w:p w14:paraId="4AB0AA9A" w14:textId="77777777" w:rsidR="00892462" w:rsidRPr="006B26BA" w:rsidRDefault="00892462" w:rsidP="00892462">
            <w:pPr>
              <w:rPr>
                <w:rFonts w:ascii="Arial" w:hAnsi="Arial" w:cs="Arial"/>
                <w:sz w:val="24"/>
                <w:szCs w:val="24"/>
              </w:rPr>
            </w:pPr>
          </w:p>
          <w:p w14:paraId="7760574C" w14:textId="77777777" w:rsidR="00892462" w:rsidRDefault="00892462" w:rsidP="00892462">
            <w:pPr>
              <w:pStyle w:val="NICCYBodyText"/>
            </w:pPr>
          </w:p>
        </w:tc>
        <w:tc>
          <w:tcPr>
            <w:tcW w:w="1417" w:type="dxa"/>
            <w:shd w:val="clear" w:color="auto" w:fill="00B050"/>
          </w:tcPr>
          <w:p w14:paraId="4601E7BC" w14:textId="77777777" w:rsidR="00892462" w:rsidRDefault="00892462" w:rsidP="00892462">
            <w:pPr>
              <w:spacing w:line="276" w:lineRule="auto"/>
              <w:ind w:right="-433"/>
              <w:rPr>
                <w:rFonts w:ascii="Arial" w:eastAsiaTheme="minorEastAsia" w:hAnsi="Arial" w:cs="Arial"/>
                <w:color w:val="414042"/>
                <w:sz w:val="24"/>
                <w:szCs w:val="24"/>
              </w:rPr>
            </w:pPr>
          </w:p>
        </w:tc>
      </w:tr>
      <w:tr w:rsidR="00892462" w14:paraId="29CE00C3" w14:textId="77777777" w:rsidTr="00161B60">
        <w:tc>
          <w:tcPr>
            <w:tcW w:w="2689" w:type="dxa"/>
          </w:tcPr>
          <w:p w14:paraId="66858086" w14:textId="77777777" w:rsidR="00892462" w:rsidRDefault="00892462" w:rsidP="00892462">
            <w:pPr>
              <w:pStyle w:val="NICCYBodyText"/>
            </w:pPr>
          </w:p>
        </w:tc>
        <w:tc>
          <w:tcPr>
            <w:tcW w:w="6237" w:type="dxa"/>
          </w:tcPr>
          <w:p w14:paraId="2AA07D48" w14:textId="58FB13CB" w:rsidR="00892462" w:rsidRPr="006B26BA" w:rsidRDefault="006B26BA" w:rsidP="00892462">
            <w:pPr>
              <w:pStyle w:val="NICCYBodyText"/>
            </w:pPr>
            <w:r w:rsidRPr="006B26BA">
              <w:rPr>
                <w:color w:val="000000" w:themeColor="text1"/>
              </w:rPr>
              <w:t>7.2 As part of the out-working of the Framework, enhanced joint working through a multi-disciplinary approach will be explored.</w:t>
            </w:r>
          </w:p>
        </w:tc>
        <w:tc>
          <w:tcPr>
            <w:tcW w:w="1417" w:type="dxa"/>
            <w:shd w:val="clear" w:color="auto" w:fill="00B050"/>
          </w:tcPr>
          <w:p w14:paraId="69F2FC82" w14:textId="77777777" w:rsidR="00892462" w:rsidRDefault="00892462" w:rsidP="00892462">
            <w:pPr>
              <w:spacing w:line="276" w:lineRule="auto"/>
              <w:ind w:right="-433"/>
              <w:rPr>
                <w:rFonts w:ascii="Arial" w:eastAsiaTheme="minorEastAsia" w:hAnsi="Arial" w:cs="Arial"/>
                <w:color w:val="414042"/>
                <w:sz w:val="24"/>
                <w:szCs w:val="24"/>
              </w:rPr>
            </w:pPr>
          </w:p>
        </w:tc>
      </w:tr>
      <w:tr w:rsidR="00892462" w14:paraId="7BF818C2" w14:textId="77777777" w:rsidTr="00161B60">
        <w:tc>
          <w:tcPr>
            <w:tcW w:w="2689" w:type="dxa"/>
          </w:tcPr>
          <w:p w14:paraId="3EE328EE" w14:textId="77777777" w:rsidR="00892462" w:rsidRDefault="00892462" w:rsidP="00892462">
            <w:pPr>
              <w:pStyle w:val="NICCYBodyText"/>
            </w:pPr>
          </w:p>
        </w:tc>
        <w:tc>
          <w:tcPr>
            <w:tcW w:w="6237" w:type="dxa"/>
          </w:tcPr>
          <w:p w14:paraId="37C376AC" w14:textId="77777777" w:rsidR="006B26BA" w:rsidRPr="006B26BA" w:rsidRDefault="006B26BA" w:rsidP="006B26BA">
            <w:pPr>
              <w:rPr>
                <w:rFonts w:ascii="Arial" w:hAnsi="Arial" w:cs="Arial"/>
                <w:sz w:val="24"/>
                <w:szCs w:val="24"/>
              </w:rPr>
            </w:pPr>
            <w:r w:rsidRPr="006B26BA">
              <w:rPr>
                <w:rFonts w:ascii="Arial" w:hAnsi="Arial" w:cs="Arial"/>
                <w:sz w:val="24"/>
                <w:szCs w:val="24"/>
              </w:rPr>
              <w:t xml:space="preserve">7.3 Reinforce and publicise the CAMHS care pathway. </w:t>
            </w:r>
          </w:p>
          <w:p w14:paraId="60AC74CE" w14:textId="77777777" w:rsidR="006B26BA" w:rsidRPr="006B26BA" w:rsidRDefault="006B26BA" w:rsidP="006B26BA">
            <w:pPr>
              <w:rPr>
                <w:rFonts w:ascii="Arial" w:hAnsi="Arial" w:cs="Arial"/>
                <w:sz w:val="24"/>
                <w:szCs w:val="24"/>
              </w:rPr>
            </w:pPr>
          </w:p>
          <w:p w14:paraId="5309F83F" w14:textId="77777777" w:rsidR="006B26BA" w:rsidRPr="006B26BA" w:rsidRDefault="006B26BA" w:rsidP="006B26BA">
            <w:pPr>
              <w:rPr>
                <w:rFonts w:ascii="Arial" w:hAnsi="Arial" w:cs="Arial"/>
                <w:sz w:val="24"/>
                <w:szCs w:val="24"/>
              </w:rPr>
            </w:pPr>
            <w:r w:rsidRPr="006B26BA">
              <w:rPr>
                <w:rFonts w:ascii="Arial" w:hAnsi="Arial" w:cs="Arial"/>
                <w:sz w:val="24"/>
                <w:szCs w:val="24"/>
              </w:rPr>
              <w:t>Link to actions 2.9, 3.2 and 5.1-5.3</w:t>
            </w:r>
          </w:p>
          <w:p w14:paraId="2BA619B7" w14:textId="77777777" w:rsidR="00892462" w:rsidRDefault="00892462" w:rsidP="00892462">
            <w:pPr>
              <w:pStyle w:val="NICCYBodyText"/>
            </w:pPr>
          </w:p>
        </w:tc>
        <w:tc>
          <w:tcPr>
            <w:tcW w:w="1417" w:type="dxa"/>
            <w:shd w:val="clear" w:color="auto" w:fill="00B050"/>
          </w:tcPr>
          <w:p w14:paraId="1E35407F" w14:textId="77777777" w:rsidR="00892462" w:rsidRDefault="00892462" w:rsidP="00892462">
            <w:pPr>
              <w:spacing w:line="276" w:lineRule="auto"/>
              <w:ind w:right="-433"/>
              <w:rPr>
                <w:rFonts w:ascii="Arial" w:eastAsiaTheme="minorEastAsia" w:hAnsi="Arial" w:cs="Arial"/>
                <w:color w:val="414042"/>
                <w:sz w:val="24"/>
                <w:szCs w:val="24"/>
              </w:rPr>
            </w:pPr>
          </w:p>
        </w:tc>
      </w:tr>
      <w:tr w:rsidR="006B26BA" w14:paraId="00A5DFB4" w14:textId="77777777" w:rsidTr="00161B60">
        <w:tc>
          <w:tcPr>
            <w:tcW w:w="2689" w:type="dxa"/>
          </w:tcPr>
          <w:p w14:paraId="0354D5B0" w14:textId="77777777" w:rsidR="006B26BA" w:rsidRDefault="006B26BA" w:rsidP="006B26BA">
            <w:pPr>
              <w:pStyle w:val="NICCYBodyText"/>
            </w:pPr>
          </w:p>
        </w:tc>
        <w:tc>
          <w:tcPr>
            <w:tcW w:w="6237" w:type="dxa"/>
          </w:tcPr>
          <w:p w14:paraId="68967ADB" w14:textId="64705662" w:rsidR="006B26BA" w:rsidRPr="0096333F" w:rsidRDefault="006B26BA" w:rsidP="006B26BA">
            <w:pPr>
              <w:pStyle w:val="NICCYBodyText"/>
              <w:rPr>
                <w:color w:val="000000" w:themeColor="text1"/>
              </w:rPr>
            </w:pPr>
            <w:r w:rsidRPr="0096333F">
              <w:rPr>
                <w:color w:val="000000" w:themeColor="text1"/>
              </w:rPr>
              <w:t>7.4 The Wellbeing Framework will provide clear structures of support, including clarification of the links and pathways of referrals to the appropriate services, based on the child/young person’s needs.</w:t>
            </w:r>
          </w:p>
        </w:tc>
        <w:tc>
          <w:tcPr>
            <w:tcW w:w="1417" w:type="dxa"/>
            <w:shd w:val="clear" w:color="auto" w:fill="00B050"/>
          </w:tcPr>
          <w:p w14:paraId="6FF40D0F" w14:textId="77777777" w:rsidR="006B26BA" w:rsidRDefault="006B26BA" w:rsidP="006B26BA">
            <w:pPr>
              <w:spacing w:line="276" w:lineRule="auto"/>
              <w:ind w:right="-433"/>
              <w:rPr>
                <w:rFonts w:ascii="Arial" w:eastAsiaTheme="minorEastAsia" w:hAnsi="Arial" w:cs="Arial"/>
                <w:color w:val="414042"/>
                <w:sz w:val="24"/>
                <w:szCs w:val="24"/>
              </w:rPr>
            </w:pPr>
          </w:p>
        </w:tc>
      </w:tr>
      <w:tr w:rsidR="006B26BA" w14:paraId="400982CB" w14:textId="77777777" w:rsidTr="00161B60">
        <w:tc>
          <w:tcPr>
            <w:tcW w:w="2689" w:type="dxa"/>
          </w:tcPr>
          <w:p w14:paraId="6902891F" w14:textId="77777777" w:rsidR="006B26BA" w:rsidRDefault="006B26BA" w:rsidP="006B26BA">
            <w:pPr>
              <w:pStyle w:val="NICCYBodyText"/>
            </w:pPr>
          </w:p>
        </w:tc>
        <w:tc>
          <w:tcPr>
            <w:tcW w:w="6237" w:type="dxa"/>
          </w:tcPr>
          <w:p w14:paraId="7D198CC1" w14:textId="77777777" w:rsidR="0096333F" w:rsidRPr="0096333F" w:rsidRDefault="0096333F" w:rsidP="0096333F">
            <w:pPr>
              <w:rPr>
                <w:rFonts w:ascii="Arial" w:hAnsi="Arial" w:cs="Arial"/>
                <w:iCs/>
                <w:sz w:val="24"/>
                <w:szCs w:val="24"/>
              </w:rPr>
            </w:pPr>
            <w:r w:rsidRPr="0096333F">
              <w:rPr>
                <w:rFonts w:ascii="Arial" w:hAnsi="Arial" w:cs="Arial"/>
                <w:color w:val="000000" w:themeColor="text1"/>
                <w:sz w:val="24"/>
                <w:szCs w:val="24"/>
              </w:rPr>
              <w:t>7.5</w:t>
            </w:r>
            <w:r w:rsidRPr="0096333F">
              <w:rPr>
                <w:rFonts w:ascii="Arial" w:hAnsi="Arial" w:cs="Arial"/>
                <w:i/>
                <w:color w:val="000000" w:themeColor="text1"/>
                <w:sz w:val="24"/>
                <w:szCs w:val="24"/>
              </w:rPr>
              <w:t xml:space="preserve"> </w:t>
            </w:r>
            <w:r w:rsidRPr="0096333F">
              <w:rPr>
                <w:rFonts w:ascii="Arial" w:hAnsi="Arial" w:cs="Arial"/>
                <w:iCs/>
                <w:sz w:val="24"/>
                <w:szCs w:val="24"/>
              </w:rPr>
              <w:t xml:space="preserve">Commission qualitative research on mental health literacy, language and awareness of services appropriate for children and young people to inform future awareness raising programmes including for example the Change Your Mind programme which is designed to tackle mental health stigma and discrimination. </w:t>
            </w:r>
          </w:p>
          <w:p w14:paraId="0111A28A" w14:textId="77777777" w:rsidR="006B26BA" w:rsidRPr="0096333F" w:rsidRDefault="006B26BA" w:rsidP="006B26BA">
            <w:pPr>
              <w:pStyle w:val="NICCYBodyText"/>
            </w:pPr>
          </w:p>
          <w:p w14:paraId="162D29A9" w14:textId="77777777" w:rsidR="0096333F" w:rsidRPr="0096333F" w:rsidRDefault="0096333F" w:rsidP="0096333F">
            <w:pPr>
              <w:rPr>
                <w:rFonts w:ascii="Arial" w:hAnsi="Arial" w:cs="Arial"/>
                <w:iCs/>
                <w:sz w:val="24"/>
                <w:szCs w:val="24"/>
              </w:rPr>
            </w:pPr>
            <w:r w:rsidRPr="0096333F">
              <w:rPr>
                <w:rFonts w:ascii="Arial" w:hAnsi="Arial" w:cs="Arial"/>
                <w:iCs/>
                <w:sz w:val="24"/>
                <w:szCs w:val="24"/>
              </w:rPr>
              <w:t>Subject to resource availability, pilot two programmes in 2020/21 to support resilience in post-primary schools; and embed Mental and Emotional Wellbeing in the curriculum to maximise success in further and higher education.</w:t>
            </w:r>
          </w:p>
          <w:p w14:paraId="5DA3F53C" w14:textId="77777777" w:rsidR="0096333F" w:rsidRPr="0096333F" w:rsidRDefault="0096333F" w:rsidP="0096333F">
            <w:pPr>
              <w:rPr>
                <w:rFonts w:ascii="Arial" w:hAnsi="Arial" w:cs="Arial"/>
                <w:iCs/>
                <w:sz w:val="24"/>
                <w:szCs w:val="24"/>
              </w:rPr>
            </w:pPr>
          </w:p>
          <w:p w14:paraId="7603EB84" w14:textId="77777777" w:rsidR="0096333F" w:rsidRPr="0096333F" w:rsidRDefault="0096333F" w:rsidP="0096333F">
            <w:pPr>
              <w:rPr>
                <w:rFonts w:ascii="Arial" w:hAnsi="Arial" w:cs="Arial"/>
                <w:iCs/>
                <w:sz w:val="24"/>
                <w:szCs w:val="24"/>
              </w:rPr>
            </w:pPr>
            <w:r w:rsidRPr="0096333F">
              <w:rPr>
                <w:rFonts w:ascii="Arial" w:hAnsi="Arial" w:cs="Arial"/>
                <w:iCs/>
                <w:sz w:val="24"/>
                <w:szCs w:val="24"/>
              </w:rPr>
              <w:lastRenderedPageBreak/>
              <w:t>Links with Protect Life 2 objective and associated actions to improve awareness of suicide prevention and associated services.</w:t>
            </w:r>
          </w:p>
          <w:p w14:paraId="21536C31" w14:textId="192023FF" w:rsidR="0096333F" w:rsidRDefault="0096333F" w:rsidP="006B26BA">
            <w:pPr>
              <w:pStyle w:val="NICCYBodyText"/>
            </w:pPr>
          </w:p>
        </w:tc>
        <w:tc>
          <w:tcPr>
            <w:tcW w:w="1417" w:type="dxa"/>
            <w:shd w:val="clear" w:color="auto" w:fill="FFC000"/>
          </w:tcPr>
          <w:p w14:paraId="186A45EE" w14:textId="77777777" w:rsidR="006B26BA" w:rsidRDefault="006B26BA" w:rsidP="006B26BA">
            <w:pPr>
              <w:spacing w:line="276" w:lineRule="auto"/>
              <w:ind w:right="-433"/>
              <w:rPr>
                <w:rFonts w:ascii="Arial" w:eastAsiaTheme="minorEastAsia" w:hAnsi="Arial" w:cs="Arial"/>
                <w:color w:val="414042"/>
                <w:sz w:val="24"/>
                <w:szCs w:val="24"/>
              </w:rPr>
            </w:pPr>
          </w:p>
        </w:tc>
      </w:tr>
      <w:tr w:rsidR="0096333F" w14:paraId="28274CC0" w14:textId="77777777" w:rsidTr="00161B60">
        <w:tc>
          <w:tcPr>
            <w:tcW w:w="2689" w:type="dxa"/>
          </w:tcPr>
          <w:p w14:paraId="1F18B28C" w14:textId="0AA41221" w:rsidR="0096333F" w:rsidRPr="0096333F" w:rsidRDefault="0096333F" w:rsidP="0096333F">
            <w:pPr>
              <w:pStyle w:val="NICCYBodyText"/>
              <w:rPr>
                <w:b/>
                <w:color w:val="000000" w:themeColor="text1"/>
              </w:rPr>
            </w:pPr>
            <w:r w:rsidRPr="0096333F">
              <w:rPr>
                <w:b/>
                <w:color w:val="000000" w:themeColor="text1"/>
              </w:rPr>
              <w:t>8 Young People with Additional Needs</w:t>
            </w:r>
          </w:p>
        </w:tc>
        <w:tc>
          <w:tcPr>
            <w:tcW w:w="6237" w:type="dxa"/>
          </w:tcPr>
          <w:p w14:paraId="1186672D" w14:textId="7C2DF700" w:rsidR="0096333F" w:rsidRPr="0096333F" w:rsidRDefault="0096333F" w:rsidP="0096333F">
            <w:pPr>
              <w:pStyle w:val="NICCYBodyText"/>
            </w:pPr>
            <w:r w:rsidRPr="0096333F">
              <w:rPr>
                <w:color w:val="000000" w:themeColor="text1"/>
              </w:rPr>
              <w:t>8.1 Pursue development of ID CAMHS pathway, linked to Action 8.2</w:t>
            </w:r>
          </w:p>
        </w:tc>
        <w:tc>
          <w:tcPr>
            <w:tcW w:w="1417" w:type="dxa"/>
            <w:shd w:val="clear" w:color="auto" w:fill="FF0000"/>
          </w:tcPr>
          <w:p w14:paraId="6C30D34E" w14:textId="77777777" w:rsidR="0096333F" w:rsidRDefault="0096333F" w:rsidP="0096333F">
            <w:pPr>
              <w:spacing w:line="276" w:lineRule="auto"/>
              <w:ind w:right="-433"/>
              <w:rPr>
                <w:rFonts w:ascii="Arial" w:eastAsiaTheme="minorEastAsia" w:hAnsi="Arial" w:cs="Arial"/>
                <w:color w:val="414042"/>
                <w:sz w:val="24"/>
                <w:szCs w:val="24"/>
              </w:rPr>
            </w:pPr>
          </w:p>
        </w:tc>
      </w:tr>
      <w:tr w:rsidR="0096333F" w14:paraId="4AD76A82" w14:textId="77777777" w:rsidTr="00161B60">
        <w:tc>
          <w:tcPr>
            <w:tcW w:w="2689" w:type="dxa"/>
          </w:tcPr>
          <w:p w14:paraId="4AF47D9B" w14:textId="77777777" w:rsidR="0096333F" w:rsidRDefault="0096333F" w:rsidP="0096333F">
            <w:pPr>
              <w:pStyle w:val="NICCYBodyText"/>
            </w:pPr>
          </w:p>
        </w:tc>
        <w:tc>
          <w:tcPr>
            <w:tcW w:w="6237" w:type="dxa"/>
          </w:tcPr>
          <w:p w14:paraId="20837DF9" w14:textId="77BFCBA0" w:rsidR="0096333F" w:rsidRPr="0096333F" w:rsidRDefault="0096333F" w:rsidP="0096333F">
            <w:pPr>
              <w:pStyle w:val="NICCYBodyText"/>
            </w:pPr>
            <w:r w:rsidRPr="0096333F">
              <w:rPr>
                <w:color w:val="000000" w:themeColor="text1"/>
              </w:rPr>
              <w:t xml:space="preserve">8.2 Development of the Children and Young People emotional </w:t>
            </w:r>
            <w:r w:rsidRPr="00EF0161">
              <w:rPr>
                <w:color w:val="000000" w:themeColor="text1"/>
              </w:rPr>
              <w:t>health</w:t>
            </w:r>
            <w:r w:rsidRPr="004A2A7D">
              <w:rPr>
                <w:color w:val="000000" w:themeColor="text1"/>
              </w:rPr>
              <w:t xml:space="preserve"> </w:t>
            </w:r>
            <w:r w:rsidRPr="0096333F">
              <w:rPr>
                <w:color w:val="000000" w:themeColor="text1"/>
              </w:rPr>
              <w:t xml:space="preserve">and Wellbeing Framework. </w:t>
            </w:r>
          </w:p>
        </w:tc>
        <w:tc>
          <w:tcPr>
            <w:tcW w:w="1417" w:type="dxa"/>
            <w:shd w:val="clear" w:color="auto" w:fill="FF0000"/>
          </w:tcPr>
          <w:p w14:paraId="6F848B0D" w14:textId="77777777" w:rsidR="0096333F" w:rsidRDefault="0096333F" w:rsidP="0096333F">
            <w:pPr>
              <w:spacing w:line="276" w:lineRule="auto"/>
              <w:ind w:right="-433"/>
              <w:rPr>
                <w:rFonts w:ascii="Arial" w:eastAsiaTheme="minorEastAsia" w:hAnsi="Arial" w:cs="Arial"/>
                <w:color w:val="414042"/>
                <w:sz w:val="24"/>
                <w:szCs w:val="24"/>
              </w:rPr>
            </w:pPr>
          </w:p>
        </w:tc>
      </w:tr>
      <w:tr w:rsidR="0096333F" w14:paraId="137F60EC" w14:textId="77777777" w:rsidTr="00161B60">
        <w:tc>
          <w:tcPr>
            <w:tcW w:w="2689" w:type="dxa"/>
          </w:tcPr>
          <w:p w14:paraId="3738436D" w14:textId="77777777" w:rsidR="0096333F" w:rsidRDefault="0096333F" w:rsidP="0096333F">
            <w:pPr>
              <w:pStyle w:val="NICCYBodyText"/>
            </w:pPr>
          </w:p>
        </w:tc>
        <w:tc>
          <w:tcPr>
            <w:tcW w:w="6237" w:type="dxa"/>
          </w:tcPr>
          <w:p w14:paraId="291688A9" w14:textId="77777777" w:rsidR="0096333F" w:rsidRPr="0096333F" w:rsidRDefault="0096333F" w:rsidP="0096333F">
            <w:pPr>
              <w:rPr>
                <w:rFonts w:ascii="Arial" w:hAnsi="Arial" w:cs="Arial"/>
                <w:color w:val="000000" w:themeColor="text1"/>
                <w:sz w:val="24"/>
                <w:szCs w:val="24"/>
              </w:rPr>
            </w:pPr>
            <w:r w:rsidRPr="0096333F">
              <w:rPr>
                <w:rFonts w:ascii="Arial" w:hAnsi="Arial" w:cs="Arial"/>
                <w:color w:val="000000" w:themeColor="text1"/>
                <w:sz w:val="24"/>
                <w:szCs w:val="24"/>
              </w:rPr>
              <w:t>8.3 Consider new approaches to mental health and substance use problems.</w:t>
            </w:r>
          </w:p>
          <w:p w14:paraId="60857C81" w14:textId="77777777" w:rsidR="0096333F" w:rsidRPr="0096333F" w:rsidRDefault="0096333F" w:rsidP="0096333F">
            <w:pPr>
              <w:rPr>
                <w:rFonts w:ascii="Arial" w:hAnsi="Arial" w:cs="Arial"/>
                <w:color w:val="000000" w:themeColor="text1"/>
                <w:sz w:val="24"/>
                <w:szCs w:val="24"/>
              </w:rPr>
            </w:pPr>
          </w:p>
          <w:p w14:paraId="7C065B25" w14:textId="77777777" w:rsidR="0096333F" w:rsidRPr="0096333F" w:rsidRDefault="0096333F" w:rsidP="0096333F">
            <w:pPr>
              <w:rPr>
                <w:rFonts w:ascii="Arial" w:hAnsi="Arial" w:cs="Arial"/>
                <w:color w:val="000000" w:themeColor="text1"/>
                <w:sz w:val="24"/>
                <w:szCs w:val="24"/>
              </w:rPr>
            </w:pPr>
            <w:r w:rsidRPr="0096333F">
              <w:rPr>
                <w:rFonts w:ascii="Arial" w:hAnsi="Arial" w:cs="Arial"/>
                <w:color w:val="000000" w:themeColor="text1"/>
                <w:sz w:val="24"/>
                <w:szCs w:val="24"/>
              </w:rPr>
              <w:t xml:space="preserve">Project Board to engage with policy leads in respect of new approaches for addressing the needs of children with mental health and substance misuse problems.  In doing so, Project Board will also liaise with the Review of Regional Facilities Programme Team to consider how the development of proposals for a Joint Care and Justice Campus might include similar approaches.  </w:t>
            </w:r>
          </w:p>
          <w:p w14:paraId="047F865E" w14:textId="77777777" w:rsidR="0096333F" w:rsidRPr="0096333F" w:rsidRDefault="0096333F" w:rsidP="0096333F">
            <w:pPr>
              <w:pStyle w:val="NICCYBodyText"/>
            </w:pPr>
          </w:p>
        </w:tc>
        <w:tc>
          <w:tcPr>
            <w:tcW w:w="1417" w:type="dxa"/>
            <w:shd w:val="clear" w:color="auto" w:fill="FFC000"/>
          </w:tcPr>
          <w:p w14:paraId="2B52687E" w14:textId="77777777" w:rsidR="0096333F" w:rsidRDefault="0096333F" w:rsidP="0096333F">
            <w:pPr>
              <w:spacing w:line="276" w:lineRule="auto"/>
              <w:ind w:right="-433"/>
              <w:rPr>
                <w:rFonts w:ascii="Arial" w:eastAsiaTheme="minorEastAsia" w:hAnsi="Arial" w:cs="Arial"/>
                <w:color w:val="414042"/>
                <w:sz w:val="24"/>
                <w:szCs w:val="24"/>
              </w:rPr>
            </w:pPr>
          </w:p>
        </w:tc>
      </w:tr>
      <w:tr w:rsidR="0096333F" w14:paraId="525C60DD" w14:textId="77777777" w:rsidTr="00161B60">
        <w:tc>
          <w:tcPr>
            <w:tcW w:w="2689" w:type="dxa"/>
          </w:tcPr>
          <w:p w14:paraId="25318132" w14:textId="77777777" w:rsidR="0096333F" w:rsidRDefault="0096333F" w:rsidP="0096333F">
            <w:pPr>
              <w:pStyle w:val="NICCYBodyText"/>
            </w:pPr>
          </w:p>
        </w:tc>
        <w:tc>
          <w:tcPr>
            <w:tcW w:w="6237" w:type="dxa"/>
          </w:tcPr>
          <w:p w14:paraId="77362950" w14:textId="2A1B7F13" w:rsidR="0096333F" w:rsidRPr="0096333F" w:rsidRDefault="0096333F" w:rsidP="0096333F">
            <w:pPr>
              <w:pStyle w:val="NICCYBodyText"/>
            </w:pPr>
            <w:r w:rsidRPr="0096333F">
              <w:rPr>
                <w:color w:val="000000" w:themeColor="text1"/>
              </w:rPr>
              <w:t>8.4 Create a new protocol for informing RQIA of all relevant information when a child or young person is admitted to a general paediatric ward for mental health treatment or care.</w:t>
            </w:r>
          </w:p>
        </w:tc>
        <w:tc>
          <w:tcPr>
            <w:tcW w:w="1417" w:type="dxa"/>
            <w:shd w:val="clear" w:color="auto" w:fill="FF0000"/>
          </w:tcPr>
          <w:p w14:paraId="73DBCD35" w14:textId="77777777" w:rsidR="0096333F" w:rsidRDefault="0096333F" w:rsidP="0096333F">
            <w:pPr>
              <w:spacing w:line="276" w:lineRule="auto"/>
              <w:ind w:right="-433"/>
              <w:rPr>
                <w:rFonts w:ascii="Arial" w:eastAsiaTheme="minorEastAsia" w:hAnsi="Arial" w:cs="Arial"/>
                <w:color w:val="414042"/>
                <w:sz w:val="24"/>
                <w:szCs w:val="24"/>
              </w:rPr>
            </w:pPr>
          </w:p>
        </w:tc>
      </w:tr>
    </w:tbl>
    <w:p w14:paraId="0C702F47" w14:textId="302E2895" w:rsidR="00E403BC" w:rsidRDefault="00E403BC" w:rsidP="00700B4E">
      <w:pPr>
        <w:spacing w:line="276" w:lineRule="auto"/>
        <w:ind w:right="-433"/>
        <w:rPr>
          <w:rFonts w:ascii="Arial" w:eastAsiaTheme="minorEastAsia" w:hAnsi="Arial" w:cs="Arial"/>
          <w:color w:val="414042"/>
          <w:sz w:val="24"/>
          <w:szCs w:val="24"/>
        </w:rPr>
      </w:pPr>
    </w:p>
    <w:p w14:paraId="3DD7E624" w14:textId="678B2F65" w:rsidR="00DB4DB2" w:rsidRPr="00DB4DB2" w:rsidRDefault="00073292" w:rsidP="00DB4DB2">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We</w:t>
      </w:r>
      <w:r w:rsidR="00367F1E">
        <w:rPr>
          <w:rFonts w:ascii="Arial" w:eastAsiaTheme="minorEastAsia" w:hAnsi="Arial" w:cs="Arial"/>
          <w:color w:val="414042"/>
          <w:sz w:val="24"/>
          <w:szCs w:val="24"/>
        </w:rPr>
        <w:t xml:space="preserve"> fully acknowledge that t</w:t>
      </w:r>
      <w:r w:rsidR="00700B4E">
        <w:rPr>
          <w:rFonts w:ascii="Arial" w:eastAsiaTheme="minorEastAsia" w:hAnsi="Arial" w:cs="Arial"/>
          <w:color w:val="414042"/>
          <w:sz w:val="24"/>
          <w:szCs w:val="24"/>
        </w:rPr>
        <w:t>he</w:t>
      </w:r>
      <w:r w:rsidR="006E404C">
        <w:rPr>
          <w:rFonts w:ascii="Arial" w:eastAsiaTheme="minorEastAsia" w:hAnsi="Arial" w:cs="Arial"/>
          <w:color w:val="414042"/>
          <w:sz w:val="24"/>
          <w:szCs w:val="24"/>
        </w:rPr>
        <w:t xml:space="preserve"> C</w:t>
      </w:r>
      <w:r w:rsidR="00700B4E" w:rsidRPr="00FD6FC0">
        <w:rPr>
          <w:rFonts w:ascii="Arial" w:eastAsiaTheme="minorEastAsia" w:hAnsi="Arial" w:cs="Arial"/>
          <w:color w:val="414042"/>
          <w:sz w:val="24"/>
          <w:szCs w:val="24"/>
        </w:rPr>
        <w:t xml:space="preserve">ovid-19 </w:t>
      </w:r>
      <w:r w:rsidR="00367F1E">
        <w:rPr>
          <w:rFonts w:ascii="Arial" w:eastAsiaTheme="minorEastAsia" w:hAnsi="Arial" w:cs="Arial"/>
          <w:color w:val="414042"/>
          <w:sz w:val="24"/>
          <w:szCs w:val="24"/>
        </w:rPr>
        <w:t>pandemic has</w:t>
      </w:r>
      <w:r w:rsidR="00700B4E" w:rsidRPr="00FD6FC0">
        <w:rPr>
          <w:rFonts w:ascii="Arial" w:eastAsiaTheme="minorEastAsia" w:hAnsi="Arial" w:cs="Arial"/>
          <w:color w:val="414042"/>
          <w:sz w:val="24"/>
          <w:szCs w:val="24"/>
        </w:rPr>
        <w:t xml:space="preserve"> </w:t>
      </w:r>
      <w:r>
        <w:rPr>
          <w:rFonts w:ascii="Arial" w:eastAsiaTheme="minorEastAsia" w:hAnsi="Arial" w:cs="Arial"/>
          <w:color w:val="414042"/>
          <w:sz w:val="24"/>
          <w:szCs w:val="24"/>
        </w:rPr>
        <w:t>had to take priority by Government and this has impacted on the</w:t>
      </w:r>
      <w:r w:rsidR="0037248B">
        <w:rPr>
          <w:rFonts w:ascii="Arial" w:eastAsiaTheme="minorEastAsia" w:hAnsi="Arial" w:cs="Arial"/>
          <w:color w:val="414042"/>
          <w:sz w:val="24"/>
          <w:szCs w:val="24"/>
        </w:rPr>
        <w:t xml:space="preserve"> ability of the IDG to meet and</w:t>
      </w:r>
      <w:r w:rsidR="00367F1E">
        <w:rPr>
          <w:rFonts w:ascii="Arial" w:eastAsiaTheme="minorEastAsia" w:hAnsi="Arial" w:cs="Arial"/>
          <w:color w:val="414042"/>
          <w:sz w:val="24"/>
          <w:szCs w:val="24"/>
        </w:rPr>
        <w:t xml:space="preserve"> progress</w:t>
      </w:r>
      <w:r>
        <w:rPr>
          <w:rFonts w:ascii="Arial" w:eastAsiaTheme="minorEastAsia" w:hAnsi="Arial" w:cs="Arial"/>
          <w:color w:val="414042"/>
          <w:sz w:val="24"/>
          <w:szCs w:val="24"/>
        </w:rPr>
        <w:t xml:space="preserve"> </w:t>
      </w:r>
      <w:r w:rsidR="00AF26E8">
        <w:rPr>
          <w:rFonts w:ascii="Arial" w:eastAsiaTheme="minorEastAsia" w:hAnsi="Arial" w:cs="Arial"/>
          <w:color w:val="414042"/>
          <w:sz w:val="24"/>
          <w:szCs w:val="24"/>
        </w:rPr>
        <w:t>actions within the SWAP</w:t>
      </w:r>
      <w:r>
        <w:rPr>
          <w:rFonts w:ascii="Arial" w:eastAsiaTheme="minorEastAsia" w:hAnsi="Arial" w:cs="Arial"/>
          <w:color w:val="414042"/>
          <w:sz w:val="24"/>
          <w:szCs w:val="24"/>
        </w:rPr>
        <w:t xml:space="preserve">. However, alongside the </w:t>
      </w:r>
      <w:r w:rsidR="0037248B">
        <w:rPr>
          <w:rFonts w:ascii="Arial" w:eastAsiaTheme="minorEastAsia" w:hAnsi="Arial" w:cs="Arial"/>
          <w:color w:val="414042"/>
          <w:sz w:val="24"/>
          <w:szCs w:val="24"/>
        </w:rPr>
        <w:t xml:space="preserve">direct </w:t>
      </w:r>
      <w:r>
        <w:rPr>
          <w:rFonts w:ascii="Arial" w:eastAsiaTheme="minorEastAsia" w:hAnsi="Arial" w:cs="Arial"/>
          <w:color w:val="414042"/>
          <w:sz w:val="24"/>
          <w:szCs w:val="24"/>
        </w:rPr>
        <w:t xml:space="preserve">physical </w:t>
      </w:r>
      <w:r w:rsidR="0037248B">
        <w:rPr>
          <w:rFonts w:ascii="Arial" w:eastAsiaTheme="minorEastAsia" w:hAnsi="Arial" w:cs="Arial"/>
          <w:color w:val="414042"/>
          <w:sz w:val="24"/>
          <w:szCs w:val="24"/>
        </w:rPr>
        <w:t>illness</w:t>
      </w:r>
      <w:r>
        <w:rPr>
          <w:rFonts w:ascii="Arial" w:eastAsiaTheme="minorEastAsia" w:hAnsi="Arial" w:cs="Arial"/>
          <w:color w:val="414042"/>
          <w:sz w:val="24"/>
          <w:szCs w:val="24"/>
        </w:rPr>
        <w:t xml:space="preserve"> caused by the </w:t>
      </w:r>
      <w:r w:rsidR="0037248B">
        <w:rPr>
          <w:rFonts w:ascii="Arial" w:eastAsiaTheme="minorEastAsia" w:hAnsi="Arial" w:cs="Arial"/>
          <w:color w:val="414042"/>
          <w:sz w:val="24"/>
          <w:szCs w:val="24"/>
        </w:rPr>
        <w:t>virus</w:t>
      </w:r>
      <w:r>
        <w:rPr>
          <w:rFonts w:ascii="Arial" w:eastAsiaTheme="minorEastAsia" w:hAnsi="Arial" w:cs="Arial"/>
          <w:color w:val="414042"/>
          <w:sz w:val="24"/>
          <w:szCs w:val="24"/>
        </w:rPr>
        <w:t xml:space="preserve">, one of the biggest impacts of </w:t>
      </w:r>
      <w:r w:rsidR="0037248B">
        <w:rPr>
          <w:rFonts w:ascii="Arial" w:eastAsiaTheme="minorEastAsia" w:hAnsi="Arial" w:cs="Arial"/>
          <w:color w:val="414042"/>
          <w:sz w:val="24"/>
          <w:szCs w:val="24"/>
        </w:rPr>
        <w:t>the pandemic</w:t>
      </w:r>
      <w:r w:rsidR="00700B4E" w:rsidRPr="00AF26E8">
        <w:rPr>
          <w:rFonts w:ascii="Arial" w:eastAsiaTheme="minorEastAsia" w:hAnsi="Arial" w:cs="Arial"/>
          <w:color w:val="414042"/>
          <w:sz w:val="24"/>
          <w:szCs w:val="24"/>
        </w:rPr>
        <w:t xml:space="preserve"> has </w:t>
      </w:r>
      <w:r>
        <w:rPr>
          <w:rFonts w:ascii="Arial" w:eastAsiaTheme="minorEastAsia" w:hAnsi="Arial" w:cs="Arial"/>
          <w:color w:val="414042"/>
          <w:sz w:val="24"/>
          <w:szCs w:val="24"/>
        </w:rPr>
        <w:t>been the increased emotional and mental health problems</w:t>
      </w:r>
      <w:r w:rsidR="0037248B">
        <w:rPr>
          <w:rFonts w:ascii="Arial" w:eastAsiaTheme="minorEastAsia" w:hAnsi="Arial" w:cs="Arial"/>
          <w:color w:val="414042"/>
          <w:sz w:val="24"/>
          <w:szCs w:val="24"/>
        </w:rPr>
        <w:t xml:space="preserve"> </w:t>
      </w:r>
      <w:r w:rsidR="00021ACB">
        <w:rPr>
          <w:rFonts w:ascii="Arial" w:eastAsiaTheme="minorEastAsia" w:hAnsi="Arial" w:cs="Arial"/>
          <w:color w:val="414042"/>
          <w:sz w:val="24"/>
          <w:szCs w:val="24"/>
        </w:rPr>
        <w:t xml:space="preserve">it has </w:t>
      </w:r>
      <w:r w:rsidR="0037248B">
        <w:rPr>
          <w:rFonts w:ascii="Arial" w:eastAsiaTheme="minorEastAsia" w:hAnsi="Arial" w:cs="Arial"/>
          <w:color w:val="414042"/>
          <w:sz w:val="24"/>
          <w:szCs w:val="24"/>
        </w:rPr>
        <w:t xml:space="preserve">caused. </w:t>
      </w:r>
      <w:r w:rsidR="00F074C3" w:rsidRPr="00F074C3">
        <w:rPr>
          <w:rStyle w:val="NICCYBodyTestChar"/>
          <w:sz w:val="24"/>
          <w:szCs w:val="24"/>
        </w:rPr>
        <w:t xml:space="preserve">In recent months there has been an increased prominence and acknowledgement given to emotional wellbeing and mental health by a range of Government Departments. </w:t>
      </w:r>
      <w:r w:rsidR="0037248B">
        <w:rPr>
          <w:rFonts w:ascii="Arial" w:eastAsiaTheme="minorEastAsia" w:hAnsi="Arial" w:cs="Arial"/>
          <w:color w:val="414042"/>
          <w:sz w:val="24"/>
          <w:szCs w:val="24"/>
        </w:rPr>
        <w:t>The concern raised within government led to the development of the covid-19 mental health response plan in M</w:t>
      </w:r>
      <w:r w:rsidR="003D02FC">
        <w:rPr>
          <w:rFonts w:ascii="Arial" w:eastAsiaTheme="minorEastAsia" w:hAnsi="Arial" w:cs="Arial"/>
          <w:color w:val="414042"/>
          <w:sz w:val="24"/>
          <w:szCs w:val="24"/>
        </w:rPr>
        <w:t>ay 2020</w:t>
      </w:r>
      <w:r w:rsidR="00127101">
        <w:rPr>
          <w:rFonts w:ascii="Arial" w:eastAsiaTheme="minorEastAsia" w:hAnsi="Arial" w:cs="Arial"/>
          <w:color w:val="414042"/>
          <w:sz w:val="24"/>
          <w:szCs w:val="24"/>
        </w:rPr>
        <w:t>, alongside the longer term plan</w:t>
      </w:r>
      <w:r w:rsidR="00021ACB">
        <w:rPr>
          <w:rFonts w:ascii="Arial" w:eastAsiaTheme="minorEastAsia" w:hAnsi="Arial" w:cs="Arial"/>
          <w:color w:val="414042"/>
          <w:sz w:val="24"/>
          <w:szCs w:val="24"/>
        </w:rPr>
        <w:t>s</w:t>
      </w:r>
      <w:r w:rsidR="00127101">
        <w:rPr>
          <w:rFonts w:ascii="Arial" w:eastAsiaTheme="minorEastAsia" w:hAnsi="Arial" w:cs="Arial"/>
          <w:color w:val="414042"/>
          <w:sz w:val="24"/>
          <w:szCs w:val="24"/>
        </w:rPr>
        <w:t xml:space="preserve"> set out in the mental health action plan</w:t>
      </w:r>
      <w:r w:rsidR="003D02FC">
        <w:rPr>
          <w:rFonts w:ascii="Arial" w:eastAsiaTheme="minorEastAsia" w:hAnsi="Arial" w:cs="Arial"/>
          <w:color w:val="414042"/>
          <w:sz w:val="24"/>
          <w:szCs w:val="24"/>
        </w:rPr>
        <w:t>.</w:t>
      </w:r>
      <w:r w:rsidR="00127101">
        <w:rPr>
          <w:rFonts w:ascii="Arial" w:eastAsiaTheme="minorEastAsia" w:hAnsi="Arial" w:cs="Arial"/>
          <w:color w:val="414042"/>
          <w:sz w:val="24"/>
          <w:szCs w:val="24"/>
        </w:rPr>
        <w:t xml:space="preserve"> A </w:t>
      </w:r>
      <w:proofErr w:type="spellStart"/>
      <w:r w:rsidR="00BC793E">
        <w:rPr>
          <w:rFonts w:ascii="Arial" w:eastAsiaTheme="minorEastAsia" w:hAnsi="Arial" w:cs="Arial"/>
          <w:color w:val="414042"/>
          <w:sz w:val="24"/>
          <w:szCs w:val="24"/>
        </w:rPr>
        <w:t>covid</w:t>
      </w:r>
      <w:proofErr w:type="spellEnd"/>
      <w:r w:rsidR="00BC793E">
        <w:rPr>
          <w:rFonts w:ascii="Arial" w:eastAsiaTheme="minorEastAsia" w:hAnsi="Arial" w:cs="Arial"/>
          <w:color w:val="414042"/>
          <w:sz w:val="24"/>
          <w:szCs w:val="24"/>
        </w:rPr>
        <w:t xml:space="preserve"> </w:t>
      </w:r>
      <w:r w:rsidR="00127101">
        <w:rPr>
          <w:rFonts w:ascii="Arial" w:eastAsiaTheme="minorEastAsia" w:hAnsi="Arial" w:cs="Arial"/>
          <w:color w:val="414042"/>
          <w:sz w:val="24"/>
          <w:szCs w:val="24"/>
        </w:rPr>
        <w:t xml:space="preserve">specific working group was established </w:t>
      </w:r>
      <w:r w:rsidR="00127101" w:rsidRPr="00BC793E">
        <w:rPr>
          <w:rFonts w:ascii="Arial" w:eastAsiaTheme="minorEastAsia" w:hAnsi="Arial" w:cs="Arial"/>
          <w:color w:val="414042"/>
          <w:sz w:val="24"/>
          <w:szCs w:val="24"/>
        </w:rPr>
        <w:t>‘to focus on the mental health needs of children and young people during and after the pandemic, to support recovery and to quickly raise any issues with the Department for resolution.</w:t>
      </w:r>
      <w:r w:rsidR="00127101" w:rsidRPr="00BC793E">
        <w:rPr>
          <w:rFonts w:ascii="Arial" w:hAnsi="Arial" w:cs="Arial"/>
          <w:sz w:val="24"/>
          <w:szCs w:val="24"/>
        </w:rPr>
        <w:t>’</w:t>
      </w:r>
      <w:r w:rsidR="00127101">
        <w:rPr>
          <w:rStyle w:val="FootnoteReference"/>
        </w:rPr>
        <w:footnoteReference w:id="4"/>
      </w:r>
      <w:r w:rsidR="00DB4DB2">
        <w:rPr>
          <w:rFonts w:ascii="Arial" w:hAnsi="Arial" w:cs="Arial"/>
          <w:sz w:val="24"/>
          <w:szCs w:val="24"/>
        </w:rPr>
        <w:t xml:space="preserve">  </w:t>
      </w:r>
      <w:r w:rsidR="00DB4DB2" w:rsidRPr="00DB4DB2">
        <w:rPr>
          <w:rStyle w:val="NICCYBodyTestChar"/>
          <w:sz w:val="24"/>
          <w:szCs w:val="24"/>
        </w:rPr>
        <w:t xml:space="preserve">Unfortunately, </w:t>
      </w:r>
      <w:r w:rsidR="00DD3FAE">
        <w:rPr>
          <w:rStyle w:val="NICCYBodyTestChar"/>
          <w:sz w:val="24"/>
          <w:szCs w:val="24"/>
        </w:rPr>
        <w:t xml:space="preserve">subsequent recommendations for </w:t>
      </w:r>
      <w:r w:rsidR="00DB4DB2" w:rsidRPr="00DB4DB2">
        <w:rPr>
          <w:rStyle w:val="NICCYBodyTestChar"/>
          <w:sz w:val="24"/>
          <w:szCs w:val="24"/>
        </w:rPr>
        <w:t xml:space="preserve"> action will be </w:t>
      </w:r>
      <w:r w:rsidR="00DC1E09">
        <w:rPr>
          <w:rStyle w:val="NICCYBodyTestChar"/>
          <w:sz w:val="24"/>
          <w:szCs w:val="24"/>
        </w:rPr>
        <w:t>impeded</w:t>
      </w:r>
      <w:r w:rsidR="00DD3FAE" w:rsidRPr="00DB4DB2">
        <w:rPr>
          <w:rStyle w:val="NICCYBodyTestChar"/>
          <w:sz w:val="24"/>
          <w:szCs w:val="24"/>
        </w:rPr>
        <w:t xml:space="preserve"> </w:t>
      </w:r>
      <w:r w:rsidR="00DB4DB2" w:rsidRPr="00DB4DB2">
        <w:rPr>
          <w:rStyle w:val="NICCYBodyTestChar"/>
          <w:sz w:val="24"/>
          <w:szCs w:val="24"/>
        </w:rPr>
        <w:t>unless significant investment and resourcing for mental health service</w:t>
      </w:r>
      <w:r w:rsidR="00DD3FAE">
        <w:rPr>
          <w:rStyle w:val="NICCYBodyTestChar"/>
          <w:sz w:val="24"/>
          <w:szCs w:val="24"/>
        </w:rPr>
        <w:t>s</w:t>
      </w:r>
      <w:r w:rsidR="00DB4DB2" w:rsidRPr="00DB4DB2">
        <w:rPr>
          <w:rStyle w:val="NICCYBodyTestChar"/>
          <w:sz w:val="24"/>
          <w:szCs w:val="24"/>
        </w:rPr>
        <w:t xml:space="preserve"> and support follow. It</w:t>
      </w:r>
      <w:r w:rsidR="00DB4DB2" w:rsidRPr="00AF26E8">
        <w:rPr>
          <w:rFonts w:ascii="Arial" w:eastAsiaTheme="minorEastAsia" w:hAnsi="Arial" w:cs="Arial"/>
          <w:color w:val="414042"/>
          <w:sz w:val="24"/>
          <w:szCs w:val="24"/>
        </w:rPr>
        <w:t xml:space="preserve"> is widely acknowledged by Government Departments that improvements </w:t>
      </w:r>
      <w:r w:rsidR="00DB4DB2" w:rsidRPr="00AF26E8">
        <w:rPr>
          <w:rFonts w:ascii="Arial" w:eastAsiaTheme="minorEastAsia" w:hAnsi="Arial" w:cs="Arial"/>
          <w:color w:val="414042"/>
          <w:sz w:val="24"/>
          <w:szCs w:val="24"/>
        </w:rPr>
        <w:lastRenderedPageBreak/>
        <w:t>in accessibility, acceptability and quality of service / support will not happen without significant strategic planning and investment.</w:t>
      </w:r>
    </w:p>
    <w:p w14:paraId="1EA4B937" w14:textId="77777777" w:rsidR="00A94CD4" w:rsidRDefault="00A94CD4" w:rsidP="00700B4E">
      <w:pPr>
        <w:pStyle w:val="NICCYBodyText"/>
      </w:pPr>
    </w:p>
    <w:p w14:paraId="3062270F" w14:textId="24BFFA91" w:rsidR="00A94CD4" w:rsidRDefault="00A94CD4" w:rsidP="00A94CD4">
      <w:pPr>
        <w:pStyle w:val="NICCYBodyText"/>
      </w:pPr>
      <w:r>
        <w:t xml:space="preserve">In </w:t>
      </w:r>
      <w:r w:rsidR="002C0CE2">
        <w:t xml:space="preserve">our </w:t>
      </w:r>
      <w:r w:rsidR="00DD3FAE">
        <w:t>‘</w:t>
      </w:r>
      <w:r w:rsidRPr="00BF0E9D">
        <w:t>State</w:t>
      </w:r>
      <w:r>
        <w:t>ment on</w:t>
      </w:r>
      <w:r w:rsidRPr="00BF0E9D">
        <w:t xml:space="preserve"> Child</w:t>
      </w:r>
      <w:r>
        <w:t>ren’s</w:t>
      </w:r>
      <w:r w:rsidRPr="00BF0E9D">
        <w:t xml:space="preserve"> Rights in Northern Ireland</w:t>
      </w:r>
      <w:r w:rsidR="00DD3FAE">
        <w:t>’</w:t>
      </w:r>
      <w:r w:rsidRPr="00BF0E9D">
        <w:t xml:space="preserve"> </w:t>
      </w:r>
      <w:r w:rsidR="00DD3FAE" w:rsidRPr="00BF0E9D">
        <w:t xml:space="preserve">(SOCRNI </w:t>
      </w:r>
      <w:r w:rsidR="00DD3FAE" w:rsidRPr="00A11C2B">
        <w:t>2)</w:t>
      </w:r>
      <w:r w:rsidR="00DD3FAE">
        <w:rPr>
          <w:rStyle w:val="FootnoteReference"/>
        </w:rPr>
        <w:footnoteReference w:id="5"/>
      </w:r>
      <w:r w:rsidR="00DD3FAE">
        <w:t xml:space="preserve"> </w:t>
      </w:r>
      <w:r w:rsidRPr="00BF0E9D">
        <w:t xml:space="preserve">report </w:t>
      </w:r>
      <w:r>
        <w:t>published in November 2020</w:t>
      </w:r>
      <w:r w:rsidRPr="00A11C2B">
        <w:t>,</w:t>
      </w:r>
      <w:r>
        <w:t xml:space="preserve"> </w:t>
      </w:r>
      <w:r w:rsidRPr="00BF0E9D">
        <w:t xml:space="preserve">NICCY </w:t>
      </w:r>
      <w:r>
        <w:t xml:space="preserve">repeated </w:t>
      </w:r>
      <w:r w:rsidR="002C0CE2">
        <w:t xml:space="preserve">the </w:t>
      </w:r>
      <w:r>
        <w:t xml:space="preserve">call for mental health to become a regional priority with investment to match, </w:t>
      </w:r>
      <w:r w:rsidR="002C0CE2">
        <w:t>recommending that government</w:t>
      </w:r>
      <w:r>
        <w:t>:</w:t>
      </w:r>
    </w:p>
    <w:p w14:paraId="40812724" w14:textId="77777777" w:rsidR="00A94CD4" w:rsidRDefault="00A94CD4" w:rsidP="00A94CD4">
      <w:pPr>
        <w:pStyle w:val="NICCYBodyText"/>
      </w:pPr>
    </w:p>
    <w:p w14:paraId="35C76EDD" w14:textId="77777777" w:rsidR="00A94CD4" w:rsidRPr="009C5C8F" w:rsidRDefault="00A94CD4" w:rsidP="00A94CD4">
      <w:pPr>
        <w:pStyle w:val="NICCYBodyText"/>
        <w:spacing w:line="276" w:lineRule="auto"/>
        <w:rPr>
          <w:b/>
        </w:rPr>
      </w:pPr>
      <w:r w:rsidRPr="009C5C8F">
        <w:rPr>
          <w:b/>
        </w:rPr>
        <w:t>“Ensure the findings and recommendations from NICCY</w:t>
      </w:r>
      <w:r w:rsidR="00DD3FAE">
        <w:rPr>
          <w:b/>
        </w:rPr>
        <w:t>’</w:t>
      </w:r>
      <w:r w:rsidRPr="009C5C8F">
        <w:rPr>
          <w:b/>
        </w:rPr>
        <w:t>s ‘Still Waiting’ review inform all current and future strategies to reform services / support. This must include long term investment to sustain services and improve outcomes.” (p41)</w:t>
      </w:r>
    </w:p>
    <w:p w14:paraId="3EF4E582" w14:textId="77777777" w:rsidR="00A94CD4" w:rsidRPr="009C5C8F" w:rsidRDefault="00A94CD4" w:rsidP="00A94CD4">
      <w:pPr>
        <w:pStyle w:val="ListParagraph"/>
        <w:rPr>
          <w:rFonts w:ascii="Arial" w:eastAsiaTheme="minorEastAsia" w:hAnsi="Arial" w:cs="Arial"/>
          <w:b/>
          <w:color w:val="414042"/>
          <w:sz w:val="24"/>
          <w:szCs w:val="24"/>
        </w:rPr>
      </w:pPr>
    </w:p>
    <w:p w14:paraId="5415822B" w14:textId="77777777" w:rsidR="00A94CD4" w:rsidRPr="009C5C8F" w:rsidRDefault="00A94CD4" w:rsidP="00A94CD4">
      <w:pPr>
        <w:pStyle w:val="NICCYBodyText"/>
        <w:spacing w:line="276" w:lineRule="auto"/>
        <w:rPr>
          <w:b/>
        </w:rPr>
      </w:pPr>
      <w:r w:rsidRPr="009C5C8F">
        <w:rPr>
          <w:b/>
        </w:rPr>
        <w:t>“Prioritise investment in those areas which reflect the most egregious breaches of children’s rights, ensure that all funding decisions are transparent and equality impact assessed and establish robust monitoring and evaluation processes to allow for effective measurement of impact.”  (p41)</w:t>
      </w:r>
    </w:p>
    <w:p w14:paraId="3416DAE8" w14:textId="77777777" w:rsidR="00A1728A" w:rsidRDefault="00A1728A" w:rsidP="00700B4E">
      <w:pPr>
        <w:pStyle w:val="NICCYBodyText"/>
      </w:pPr>
    </w:p>
    <w:p w14:paraId="6BD8D763" w14:textId="77777777" w:rsidR="00395A92" w:rsidRDefault="00395A92" w:rsidP="00395A92">
      <w:pPr>
        <w:pStyle w:val="NICCYSubTitle"/>
      </w:pPr>
      <w:r>
        <w:t xml:space="preserve">Policy and Strategy Development </w:t>
      </w:r>
    </w:p>
    <w:p w14:paraId="78CBDA63" w14:textId="35AC4221" w:rsidR="00DB4DB2" w:rsidRDefault="0044499B" w:rsidP="00700B4E">
      <w:pPr>
        <w:pStyle w:val="NICCYBodyText"/>
      </w:pPr>
      <w:r>
        <w:t>There ha</w:t>
      </w:r>
      <w:r w:rsidR="00DD3FAE">
        <w:t>ve</w:t>
      </w:r>
      <w:r>
        <w:t xml:space="preserve"> been</w:t>
      </w:r>
      <w:r w:rsidR="00700B4E" w:rsidRPr="00FE5B6C">
        <w:t xml:space="preserve"> a number of important and progressive policy developments </w:t>
      </w:r>
      <w:r w:rsidR="00B5453C" w:rsidRPr="00FE5B6C">
        <w:t xml:space="preserve">since the last monitoring report, </w:t>
      </w:r>
      <w:r>
        <w:t xml:space="preserve">this includes the </w:t>
      </w:r>
      <w:r w:rsidR="002C0CE2">
        <w:t>M</w:t>
      </w:r>
      <w:r>
        <w:t xml:space="preserve">ental </w:t>
      </w:r>
      <w:r w:rsidR="002C0CE2">
        <w:t>H</w:t>
      </w:r>
      <w:r>
        <w:t xml:space="preserve">ealth </w:t>
      </w:r>
      <w:r w:rsidR="002C0CE2">
        <w:t>A</w:t>
      </w:r>
      <w:r>
        <w:t xml:space="preserve">ction </w:t>
      </w:r>
      <w:r w:rsidR="002C0CE2">
        <w:t>P</w:t>
      </w:r>
      <w:r>
        <w:t xml:space="preserve">lan and </w:t>
      </w:r>
      <w:proofErr w:type="spellStart"/>
      <w:r w:rsidR="002C0CE2">
        <w:t>C</w:t>
      </w:r>
      <w:r>
        <w:t>ovid</w:t>
      </w:r>
      <w:proofErr w:type="spellEnd"/>
      <w:r>
        <w:t xml:space="preserve"> specific plan as already mentioned. T</w:t>
      </w:r>
      <w:r w:rsidR="00700B4E" w:rsidRPr="00FE5B6C">
        <w:t xml:space="preserve">he </w:t>
      </w:r>
      <w:r w:rsidR="00B5453C" w:rsidRPr="00FE5B6C">
        <w:t>consultation on NI’s first Mental Health S</w:t>
      </w:r>
      <w:r w:rsidR="00DB4DB2">
        <w:t>trategy</w:t>
      </w:r>
      <w:r>
        <w:t xml:space="preserve"> is hugely significant</w:t>
      </w:r>
      <w:r w:rsidR="00DB4DB2">
        <w:t xml:space="preserve">, </w:t>
      </w:r>
      <w:r w:rsidR="00A868C6">
        <w:t xml:space="preserve">and </w:t>
      </w:r>
      <w:r w:rsidR="00DB4DB2">
        <w:t>we commend the Department for its steps to</w:t>
      </w:r>
      <w:r w:rsidR="002339A7">
        <w:t xml:space="preserve"> realise children’s participation rights by</w:t>
      </w:r>
      <w:r w:rsidR="00DB4DB2">
        <w:t xml:space="preserve"> </w:t>
      </w:r>
      <w:r w:rsidR="002339A7">
        <w:t>producing</w:t>
      </w:r>
      <w:r w:rsidR="00DB4DB2">
        <w:t xml:space="preserve"> a children</w:t>
      </w:r>
      <w:r w:rsidR="00DD3FAE">
        <w:t>’s</w:t>
      </w:r>
      <w:r w:rsidR="00DB4DB2">
        <w:t xml:space="preserve"> and young </w:t>
      </w:r>
      <w:r>
        <w:t>people</w:t>
      </w:r>
      <w:r w:rsidR="00DD3FAE">
        <w:t>’s</w:t>
      </w:r>
      <w:r>
        <w:t xml:space="preserve"> </w:t>
      </w:r>
      <w:r w:rsidR="00DB4DB2">
        <w:t xml:space="preserve">and easy read version of the strategy. </w:t>
      </w:r>
      <w:r w:rsidR="00A84806">
        <w:t xml:space="preserve">We look forward to seeing how the department engages directly with young people as part of the consultation processes. </w:t>
      </w:r>
      <w:r w:rsidR="00DB4DB2">
        <w:t xml:space="preserve"> </w:t>
      </w:r>
    </w:p>
    <w:p w14:paraId="2C71C408" w14:textId="77777777" w:rsidR="00BF1F4D" w:rsidRDefault="00BF1F4D" w:rsidP="00700B4E">
      <w:pPr>
        <w:pStyle w:val="NICCYBodyText"/>
      </w:pPr>
    </w:p>
    <w:p w14:paraId="117BC7D3" w14:textId="77777777" w:rsidR="008E1CDA" w:rsidRDefault="008E1CDA" w:rsidP="008E1CDA">
      <w:pPr>
        <w:pStyle w:val="NICCYBodyText"/>
      </w:pPr>
      <w:r w:rsidRPr="00F82366">
        <w:t xml:space="preserve">NICCY </w:t>
      </w:r>
      <w:r w:rsidR="00555682">
        <w:t xml:space="preserve">also </w:t>
      </w:r>
      <w:r w:rsidRPr="00F82366">
        <w:t xml:space="preserve">welcomes </w:t>
      </w:r>
      <w:r>
        <w:t xml:space="preserve">the work to produce an </w:t>
      </w:r>
      <w:r w:rsidRPr="00FE5B6C">
        <w:t>Emotional Health and We</w:t>
      </w:r>
      <w:r>
        <w:t>llbeing in Education Framework</w:t>
      </w:r>
      <w:r w:rsidR="00DD3FAE">
        <w:t xml:space="preserve"> (EHWEF)</w:t>
      </w:r>
      <w:r>
        <w:t xml:space="preserve"> and the focus it places on</w:t>
      </w:r>
      <w:r w:rsidRPr="00F82366">
        <w:t xml:space="preserve"> </w:t>
      </w:r>
      <w:r>
        <w:t>educational settings as a source of support for children and young people</w:t>
      </w:r>
      <w:r w:rsidRPr="00F82366">
        <w:t>’s emotional health and wellbeing. With the appropriate implementation supports</w:t>
      </w:r>
      <w:r>
        <w:t xml:space="preserve">, </w:t>
      </w:r>
      <w:r w:rsidRPr="00F82366">
        <w:t>commitment</w:t>
      </w:r>
      <w:r>
        <w:t xml:space="preserve"> and </w:t>
      </w:r>
      <w:r w:rsidRPr="00F82366">
        <w:t xml:space="preserve">buy-in, we anticipate that the Framework will facilitate improvements in mental health awareness and literacy, </w:t>
      </w:r>
      <w:r>
        <w:t xml:space="preserve">improve interagency collaboration </w:t>
      </w:r>
      <w:r w:rsidRPr="00F82366">
        <w:t xml:space="preserve">and </w:t>
      </w:r>
      <w:r>
        <w:t>ultimately improve</w:t>
      </w:r>
      <w:r w:rsidRPr="00F82366">
        <w:t xml:space="preserve"> </w:t>
      </w:r>
      <w:r>
        <w:t xml:space="preserve">the </w:t>
      </w:r>
      <w:r w:rsidRPr="00F82366">
        <w:t xml:space="preserve">mental health </w:t>
      </w:r>
      <w:r>
        <w:t>of children and young people and staff.</w:t>
      </w:r>
    </w:p>
    <w:p w14:paraId="54AD958F" w14:textId="77777777" w:rsidR="001E19C1" w:rsidRDefault="001E19C1" w:rsidP="008E1CDA">
      <w:pPr>
        <w:pStyle w:val="NICCYBodyText"/>
      </w:pPr>
    </w:p>
    <w:p w14:paraId="224F79B9" w14:textId="00FCD192" w:rsidR="001E19C1" w:rsidRPr="008E1CDA" w:rsidRDefault="001E19C1" w:rsidP="008E1CDA">
      <w:pPr>
        <w:pStyle w:val="NICCYBodyText"/>
      </w:pPr>
      <w:r>
        <w:t xml:space="preserve">The Substance Misuse Strategy </w:t>
      </w:r>
      <w:r w:rsidR="00B428AC">
        <w:t xml:space="preserve">and </w:t>
      </w:r>
      <w:r w:rsidR="00DD3FAE">
        <w:t xml:space="preserve">proposals </w:t>
      </w:r>
      <w:r w:rsidR="00B428AC">
        <w:t xml:space="preserve">on a </w:t>
      </w:r>
      <w:r w:rsidR="00DD3FAE">
        <w:t xml:space="preserve">Regional Care </w:t>
      </w:r>
      <w:r w:rsidR="00B428AC">
        <w:t xml:space="preserve">and Justice </w:t>
      </w:r>
      <w:r w:rsidR="00DD3FAE">
        <w:t>C</w:t>
      </w:r>
      <w:r w:rsidR="00B428AC">
        <w:t>ampus are</w:t>
      </w:r>
      <w:r>
        <w:t xml:space="preserve"> currently out for consultation and </w:t>
      </w:r>
      <w:r w:rsidR="00B428AC">
        <w:t xml:space="preserve">both </w:t>
      </w:r>
      <w:r>
        <w:t xml:space="preserve">offer a real opportunity to embed some of the </w:t>
      </w:r>
      <w:r>
        <w:lastRenderedPageBreak/>
        <w:t xml:space="preserve">actions from the IDG SWAP that relate to support for young people with alcohol and drug and mental health problems. </w:t>
      </w:r>
      <w:r w:rsidR="00BF1F4D">
        <w:t>Moreover</w:t>
      </w:r>
      <w:r w:rsidR="0062787C">
        <w:t>,</w:t>
      </w:r>
      <w:r w:rsidR="006E404C">
        <w:t xml:space="preserve"> w</w:t>
      </w:r>
      <w:r w:rsidR="00B428AC">
        <w:t xml:space="preserve">e </w:t>
      </w:r>
      <w:r w:rsidR="006E404C">
        <w:t xml:space="preserve">have been </w:t>
      </w:r>
      <w:r w:rsidR="00B428AC">
        <w:t>assured that communication is ongoing between D</w:t>
      </w:r>
      <w:r w:rsidR="0064685C">
        <w:t>epartment leads.</w:t>
      </w:r>
    </w:p>
    <w:p w14:paraId="5DFD81D3" w14:textId="77777777" w:rsidR="00700B4E" w:rsidRDefault="00700B4E" w:rsidP="00700B4E">
      <w:pPr>
        <w:pStyle w:val="NICCYBodyText"/>
        <w:rPr>
          <w:color w:val="0070C0"/>
        </w:rPr>
      </w:pPr>
    </w:p>
    <w:p w14:paraId="616A70C3" w14:textId="66CCF92B" w:rsidR="006476A0" w:rsidRPr="006476A0" w:rsidRDefault="0044499B" w:rsidP="001F2C3A">
      <w:pPr>
        <w:pStyle w:val="NICCYSubTitle"/>
        <w:rPr>
          <w:b w:val="0"/>
          <w:color w:val="414042"/>
        </w:rPr>
      </w:pPr>
      <w:r w:rsidRPr="001F2C3A">
        <w:rPr>
          <w:b w:val="0"/>
          <w:color w:val="414042"/>
        </w:rPr>
        <w:t xml:space="preserve">We also recognise that there is overlap and commonality across these </w:t>
      </w:r>
      <w:r w:rsidR="00861A1A">
        <w:rPr>
          <w:b w:val="0"/>
          <w:color w:val="414042"/>
        </w:rPr>
        <w:t>policy developments</w:t>
      </w:r>
      <w:r w:rsidRPr="001F2C3A">
        <w:rPr>
          <w:b w:val="0"/>
          <w:color w:val="414042"/>
        </w:rPr>
        <w:t xml:space="preserve"> with respect to intentions</w:t>
      </w:r>
      <w:r>
        <w:rPr>
          <w:b w:val="0"/>
          <w:color w:val="414042"/>
        </w:rPr>
        <w:t xml:space="preserve"> and actions</w:t>
      </w:r>
      <w:r w:rsidRPr="001F2C3A">
        <w:rPr>
          <w:b w:val="0"/>
          <w:color w:val="414042"/>
        </w:rPr>
        <w:t>.</w:t>
      </w:r>
      <w:r>
        <w:rPr>
          <w:b w:val="0"/>
          <w:color w:val="414042"/>
        </w:rPr>
        <w:t xml:space="preserve"> </w:t>
      </w:r>
      <w:r w:rsidR="00861A1A">
        <w:rPr>
          <w:b w:val="0"/>
          <w:color w:val="414042"/>
        </w:rPr>
        <w:t>We have been given re</w:t>
      </w:r>
      <w:r w:rsidR="005C3C74">
        <w:rPr>
          <w:b w:val="0"/>
          <w:color w:val="414042"/>
        </w:rPr>
        <w:t>assurances by the Department of</w:t>
      </w:r>
      <w:r w:rsidR="00861A1A">
        <w:rPr>
          <w:b w:val="0"/>
          <w:color w:val="414042"/>
        </w:rPr>
        <w:t xml:space="preserve"> Health and the Minister, that NICCY</w:t>
      </w:r>
      <w:r w:rsidR="00DD3FAE">
        <w:rPr>
          <w:b w:val="0"/>
          <w:color w:val="414042"/>
        </w:rPr>
        <w:t>’</w:t>
      </w:r>
      <w:r w:rsidR="00861A1A">
        <w:rPr>
          <w:b w:val="0"/>
          <w:color w:val="414042"/>
        </w:rPr>
        <w:t xml:space="preserve">s Still Waiting recommendations and </w:t>
      </w:r>
      <w:r w:rsidR="00A84806">
        <w:rPr>
          <w:b w:val="0"/>
          <w:color w:val="414042"/>
        </w:rPr>
        <w:t>Action Plan</w:t>
      </w:r>
      <w:r w:rsidR="00861A1A">
        <w:rPr>
          <w:b w:val="0"/>
          <w:color w:val="414042"/>
        </w:rPr>
        <w:t xml:space="preserve"> remain a priority for the Department as it</w:t>
      </w:r>
      <w:r w:rsidR="00861A1A" w:rsidRPr="006476A0">
        <w:rPr>
          <w:b w:val="0"/>
          <w:color w:val="414042"/>
        </w:rPr>
        <w:t xml:space="preserve"> ‘maintains focus on mental health services and support for children and young people’</w:t>
      </w:r>
      <w:r w:rsidR="00861A1A">
        <w:rPr>
          <w:b w:val="0"/>
          <w:color w:val="414042"/>
        </w:rPr>
        <w:t>.</w:t>
      </w:r>
      <w:r w:rsidR="00861A1A" w:rsidRPr="001F2C3A">
        <w:t xml:space="preserve"> </w:t>
      </w:r>
      <w:r>
        <w:rPr>
          <w:b w:val="0"/>
          <w:color w:val="414042"/>
        </w:rPr>
        <w:t>Although reassuring it is important that these separate but related plans</w:t>
      </w:r>
      <w:r w:rsidR="00861A1A">
        <w:rPr>
          <w:b w:val="0"/>
          <w:color w:val="414042"/>
        </w:rPr>
        <w:t xml:space="preserve"> are</w:t>
      </w:r>
      <w:r>
        <w:rPr>
          <w:b w:val="0"/>
          <w:color w:val="414042"/>
        </w:rPr>
        <w:t xml:space="preserve"> sufficiently</w:t>
      </w:r>
      <w:r w:rsidR="00861A1A" w:rsidRPr="00861A1A">
        <w:rPr>
          <w:b w:val="0"/>
          <w:color w:val="414042"/>
        </w:rPr>
        <w:t xml:space="preserve"> </w:t>
      </w:r>
      <w:r w:rsidR="00861A1A">
        <w:rPr>
          <w:b w:val="0"/>
          <w:color w:val="414042"/>
        </w:rPr>
        <w:t xml:space="preserve">joined up to form one </w:t>
      </w:r>
      <w:r w:rsidR="00866FDB">
        <w:rPr>
          <w:b w:val="0"/>
          <w:color w:val="414042"/>
        </w:rPr>
        <w:t xml:space="preserve">integrated and </w:t>
      </w:r>
      <w:r w:rsidR="00861A1A">
        <w:rPr>
          <w:b w:val="0"/>
          <w:color w:val="414042"/>
        </w:rPr>
        <w:t>coherent set of actions</w:t>
      </w:r>
      <w:r>
        <w:rPr>
          <w:b w:val="0"/>
          <w:color w:val="414042"/>
        </w:rPr>
        <w:t xml:space="preserve">. </w:t>
      </w:r>
    </w:p>
    <w:p w14:paraId="4B74E55F" w14:textId="77777777" w:rsidR="006476A0" w:rsidRDefault="006476A0" w:rsidP="006476A0">
      <w:pPr>
        <w:pStyle w:val="NICCYSubTitle"/>
        <w:rPr>
          <w:b w:val="0"/>
          <w:color w:val="414042"/>
        </w:rPr>
      </w:pPr>
    </w:p>
    <w:p w14:paraId="5E904301" w14:textId="4354A1A5" w:rsidR="006476A0" w:rsidRDefault="00BF1F4D" w:rsidP="00700B4E">
      <w:pPr>
        <w:pStyle w:val="NICCYBodyText"/>
        <w:rPr>
          <w:b/>
        </w:rPr>
      </w:pPr>
      <w:r>
        <w:rPr>
          <w:b/>
        </w:rPr>
        <w:t>T</w:t>
      </w:r>
      <w:r w:rsidR="006476A0" w:rsidRPr="00BD092E">
        <w:rPr>
          <w:b/>
        </w:rPr>
        <w:t xml:space="preserve">he Action Plan developed by the IDG </w:t>
      </w:r>
      <w:r>
        <w:rPr>
          <w:b/>
        </w:rPr>
        <w:t>must</w:t>
      </w:r>
      <w:r w:rsidR="006476A0" w:rsidRPr="00BD092E">
        <w:rPr>
          <w:b/>
        </w:rPr>
        <w:t xml:space="preserve"> </w:t>
      </w:r>
      <w:r w:rsidR="00DD3FAE">
        <w:rPr>
          <w:b/>
        </w:rPr>
        <w:t>converge</w:t>
      </w:r>
      <w:r w:rsidR="00EA4654">
        <w:rPr>
          <w:b/>
        </w:rPr>
        <w:t xml:space="preserve"> with other relevant work, </w:t>
      </w:r>
      <w:r w:rsidR="006476A0" w:rsidRPr="00BD092E">
        <w:rPr>
          <w:b/>
        </w:rPr>
        <w:t>such a</w:t>
      </w:r>
      <w:r w:rsidR="00B42783">
        <w:rPr>
          <w:b/>
        </w:rPr>
        <w:t xml:space="preserve">s the Mental Health Action Plan, </w:t>
      </w:r>
      <w:r w:rsidR="006476A0" w:rsidRPr="00BD092E">
        <w:rPr>
          <w:b/>
        </w:rPr>
        <w:t>the Mental Health Strategy</w:t>
      </w:r>
      <w:r w:rsidR="00B42783">
        <w:rPr>
          <w:b/>
        </w:rPr>
        <w:t xml:space="preserve">, Emotional </w:t>
      </w:r>
      <w:r w:rsidR="00B42783" w:rsidRPr="001A6D6A">
        <w:rPr>
          <w:b/>
        </w:rPr>
        <w:t>Health and Wellbeing in Education Framework</w:t>
      </w:r>
      <w:r w:rsidR="001E19C1">
        <w:rPr>
          <w:b/>
        </w:rPr>
        <w:t xml:space="preserve">, Substance Misuse Strategy </w:t>
      </w:r>
      <w:r w:rsidR="001A6D6A">
        <w:rPr>
          <w:b/>
        </w:rPr>
        <w:t>etc.</w:t>
      </w:r>
      <w:r w:rsidR="00EA4654">
        <w:rPr>
          <w:b/>
        </w:rPr>
        <w:t>,</w:t>
      </w:r>
      <w:r w:rsidR="001A6D6A">
        <w:rPr>
          <w:b/>
        </w:rPr>
        <w:t xml:space="preserve"> </w:t>
      </w:r>
      <w:r w:rsidR="006476A0" w:rsidRPr="00BD092E">
        <w:rPr>
          <w:b/>
        </w:rPr>
        <w:t xml:space="preserve">in </w:t>
      </w:r>
      <w:r w:rsidR="00DD3FAE">
        <w:rPr>
          <w:b/>
        </w:rPr>
        <w:t xml:space="preserve">such </w:t>
      </w:r>
      <w:r w:rsidR="006476A0" w:rsidRPr="00BD092E">
        <w:rPr>
          <w:b/>
        </w:rPr>
        <w:t>a way that the Still Waiting recommendations feature prominently throughout.</w:t>
      </w:r>
    </w:p>
    <w:p w14:paraId="2222339A" w14:textId="24ABEECB" w:rsidR="00C8006C" w:rsidRDefault="00C8006C" w:rsidP="00700B4E">
      <w:pPr>
        <w:pStyle w:val="NICCYBodyText"/>
        <w:rPr>
          <w:b/>
        </w:rPr>
      </w:pPr>
    </w:p>
    <w:p w14:paraId="60C6B185" w14:textId="3233481F" w:rsidR="008069C4" w:rsidRDefault="00C8006C" w:rsidP="00245432">
      <w:pPr>
        <w:pStyle w:val="NICCYBodyText"/>
      </w:pPr>
      <w:r w:rsidRPr="007C4536">
        <w:t>The introduction of the Mental Capacity (NI) Act</w:t>
      </w:r>
      <w:r w:rsidR="007C4536" w:rsidRPr="007C4536">
        <w:t xml:space="preserve"> is a significant legislative development that will</w:t>
      </w:r>
      <w:r w:rsidR="007C4536">
        <w:t>,</w:t>
      </w:r>
      <w:r w:rsidR="007C4536" w:rsidRPr="007C4536">
        <w:t xml:space="preserve"> when</w:t>
      </w:r>
      <w:r w:rsidR="007C4536">
        <w:t xml:space="preserve"> fully commenced, fuse together mental capacity and mental health law for those aged 16 yea</w:t>
      </w:r>
      <w:r w:rsidR="00B37BEC">
        <w:t>rs and over</w:t>
      </w:r>
      <w:r w:rsidR="007C4536">
        <w:t>. Throughout the development of the legislation, NICCY consistently expressed concern regarding the proposed application of the Mental Capacity Act (Northern Ireland) 2016 only to those aged 16 and over, thus denying young people under 16 access to the protections and safeguards under the Act.</w:t>
      </w:r>
      <w:r w:rsidR="00245432">
        <w:t xml:space="preserve"> Under 16s are excluded from the scope of the Mental Capacity Act due to Government’s position that the test for capacity cannot be applied to children. This position is not compliant with the UNCRC or ECHR</w:t>
      </w:r>
      <w:r w:rsidR="008069C4">
        <w:t xml:space="preserve"> and NICCY has already written to draw this to the attention of the Minister and requesting that the provisions of the Mental Capacity Act be extended to children and young people under the age of </w:t>
      </w:r>
      <w:r w:rsidR="00F03E4A">
        <w:t>16.</w:t>
      </w:r>
      <w:r w:rsidR="00245432">
        <w:t xml:space="preserve"> </w:t>
      </w:r>
    </w:p>
    <w:p w14:paraId="11A9408E" w14:textId="77777777" w:rsidR="008069C4" w:rsidRDefault="008069C4" w:rsidP="00245432">
      <w:pPr>
        <w:pStyle w:val="NICCYBodyText"/>
      </w:pPr>
    </w:p>
    <w:p w14:paraId="4921E6DD" w14:textId="1003DDA1" w:rsidR="008069C4" w:rsidRDefault="00245432" w:rsidP="00245432">
      <w:pPr>
        <w:pStyle w:val="NICCYBodyText"/>
      </w:pPr>
      <w:r>
        <w:t xml:space="preserve">The Mental Health (NI) Order 1986 will remain in place for under 16’s, </w:t>
      </w:r>
      <w:r w:rsidR="00277E86">
        <w:t>despite</w:t>
      </w:r>
      <w:r>
        <w:t xml:space="preserve"> it being widely regarded as non-compliant with key human rights, not upholding the principle of personal autonomy and not reflecting developments in good practice. A series of amendments are planned to improve protections and safeguards for under 16’s, however, at the moment there is no set date for full commencement of amendments to the Mental Health Order. NICCY has advised Government that steps to update the legislation must be taken as a matter of urgency. </w:t>
      </w:r>
    </w:p>
    <w:p w14:paraId="3A520A88" w14:textId="77777777" w:rsidR="008069C4" w:rsidRDefault="008069C4" w:rsidP="00245432">
      <w:pPr>
        <w:pStyle w:val="NICCYBodyText"/>
      </w:pPr>
    </w:p>
    <w:p w14:paraId="6E0E5CF8" w14:textId="170A610C" w:rsidR="00245432" w:rsidRPr="00245432" w:rsidRDefault="00245432" w:rsidP="00245432">
      <w:pPr>
        <w:pStyle w:val="NICCYBodyText"/>
      </w:pPr>
      <w:r>
        <w:t xml:space="preserve">The Mental Capacity Act does not apply to 16 and 17 year olds in the same way as adults. Unlike adults, they do not have automatic access to the safeguards and protections of the Act when they lose capacity. The current version of the Mental Capacity Act Code of Practice does not appear to fully address the position of 16 and 17 year olds as the Children’s Chapter states that The Age of Majority Act 1969 provides that a person who is 16 or over may consent to surgical, medical or dental treatment without parental consent, but does not remove the right of the parent or guardian to consent on behalf of a 16 or </w:t>
      </w:r>
      <w:r w:rsidR="0006688F">
        <w:t>17 year-old</w:t>
      </w:r>
      <w:r>
        <w:t xml:space="preserve">. The recent </w:t>
      </w:r>
      <w:r w:rsidR="008069C4">
        <w:t>S</w:t>
      </w:r>
      <w:r>
        <w:t xml:space="preserve">upreme </w:t>
      </w:r>
      <w:r w:rsidR="008069C4">
        <w:t>C</w:t>
      </w:r>
      <w:r>
        <w:t xml:space="preserve">ourt judgment in the Re D case resolves some but not all of the outstanding issues with the legislative position and NICCY has yet to receive a satisfactory response from the DoH regarding the judgement and the measures that will be taken to rectify problems with existing legislation for under 16s and 16-17 years </w:t>
      </w:r>
      <w:proofErr w:type="spellStart"/>
      <w:r>
        <w:t>olds</w:t>
      </w:r>
      <w:proofErr w:type="spellEnd"/>
      <w:r>
        <w:t>.</w:t>
      </w:r>
    </w:p>
    <w:p w14:paraId="244D137C" w14:textId="7C435438" w:rsidR="00245432" w:rsidRDefault="00245432" w:rsidP="00700B4E">
      <w:pPr>
        <w:pStyle w:val="NICCYBodyText"/>
        <w:rPr>
          <w:color w:val="0070C0"/>
        </w:rPr>
      </w:pPr>
    </w:p>
    <w:p w14:paraId="3E02D969" w14:textId="30BBC5D0" w:rsidR="00245432" w:rsidRPr="00221A5B" w:rsidRDefault="008069C4" w:rsidP="00700B4E">
      <w:pPr>
        <w:pStyle w:val="NICCYBodyText"/>
        <w:rPr>
          <w:b/>
          <w:color w:val="262626" w:themeColor="text1" w:themeTint="D9"/>
        </w:rPr>
      </w:pPr>
      <w:r w:rsidRPr="00221A5B">
        <w:rPr>
          <w:b/>
          <w:color w:val="262626" w:themeColor="text1" w:themeTint="D9"/>
        </w:rPr>
        <w:t>NICCY recommends that the provisions of the Mental Capacity Act be extended to cover children and young people under the age of 16 to ensure the legislation is fully compliant with ECHR and UNCRC</w:t>
      </w:r>
      <w:r w:rsidR="00EC4D38" w:rsidRPr="00221A5B">
        <w:rPr>
          <w:b/>
          <w:color w:val="262626" w:themeColor="text1" w:themeTint="D9"/>
        </w:rPr>
        <w:t xml:space="preserve">; </w:t>
      </w:r>
      <w:r w:rsidRPr="00221A5B">
        <w:rPr>
          <w:b/>
          <w:color w:val="262626" w:themeColor="text1" w:themeTint="D9"/>
        </w:rPr>
        <w:t>that the provisions in the Mental H</w:t>
      </w:r>
      <w:r w:rsidR="007C3D69">
        <w:rPr>
          <w:b/>
          <w:color w:val="262626" w:themeColor="text1" w:themeTint="D9"/>
        </w:rPr>
        <w:t xml:space="preserve">ealth Order 1986 designed to </w:t>
      </w:r>
      <w:r w:rsidRPr="00221A5B">
        <w:rPr>
          <w:b/>
          <w:color w:val="262626" w:themeColor="text1" w:themeTint="D9"/>
        </w:rPr>
        <w:t>improve safeguards and protections for under 16 year olds be comme</w:t>
      </w:r>
      <w:r w:rsidR="0055275C">
        <w:rPr>
          <w:b/>
          <w:color w:val="262626" w:themeColor="text1" w:themeTint="D9"/>
        </w:rPr>
        <w:t>nced</w:t>
      </w:r>
      <w:r w:rsidR="007C3D69">
        <w:rPr>
          <w:b/>
          <w:color w:val="262626" w:themeColor="text1" w:themeTint="D9"/>
        </w:rPr>
        <w:t xml:space="preserve"> as a matter of</w:t>
      </w:r>
      <w:r w:rsidRPr="00221A5B">
        <w:rPr>
          <w:b/>
          <w:color w:val="262626" w:themeColor="text1" w:themeTint="D9"/>
        </w:rPr>
        <w:t xml:space="preserve"> urgency</w:t>
      </w:r>
      <w:r w:rsidR="00EC4D38" w:rsidRPr="00221A5B">
        <w:rPr>
          <w:b/>
          <w:color w:val="262626" w:themeColor="text1" w:themeTint="D9"/>
        </w:rPr>
        <w:t>; and that the Mental Capacity Act Code of Practice is revised to properly take account of the re D Supreme Court judgement.</w:t>
      </w:r>
      <w:r w:rsidRPr="00221A5B">
        <w:rPr>
          <w:b/>
          <w:color w:val="262626" w:themeColor="text1" w:themeTint="D9"/>
        </w:rPr>
        <w:t xml:space="preserve">   </w:t>
      </w:r>
    </w:p>
    <w:p w14:paraId="7779906A" w14:textId="77777777" w:rsidR="00245432" w:rsidRDefault="00245432" w:rsidP="00700B4E">
      <w:pPr>
        <w:pStyle w:val="NICCYBodyText"/>
        <w:rPr>
          <w:color w:val="0070C0"/>
        </w:rPr>
      </w:pPr>
    </w:p>
    <w:p w14:paraId="1BFC06E2" w14:textId="77777777" w:rsidR="00F51DFB" w:rsidRDefault="00395A92" w:rsidP="00395A92">
      <w:pPr>
        <w:pStyle w:val="NICCYSubTitle"/>
      </w:pPr>
      <w:r>
        <w:t>Impact of Covid-19</w:t>
      </w:r>
    </w:p>
    <w:p w14:paraId="2EA0C499" w14:textId="77777777" w:rsidR="00395A92" w:rsidRDefault="00395A92" w:rsidP="00395A92">
      <w:pPr>
        <w:pStyle w:val="NICCYSubTitle"/>
        <w:rPr>
          <w:b w:val="0"/>
          <w:color w:val="414042"/>
        </w:rPr>
      </w:pPr>
      <w:r>
        <w:rPr>
          <w:b w:val="0"/>
          <w:color w:val="414042"/>
        </w:rPr>
        <w:t>W</w:t>
      </w:r>
      <w:r w:rsidRPr="008E7136">
        <w:rPr>
          <w:b w:val="0"/>
          <w:color w:val="414042"/>
        </w:rPr>
        <w:t xml:space="preserve">e </w:t>
      </w:r>
      <w:r>
        <w:rPr>
          <w:b w:val="0"/>
          <w:color w:val="414042"/>
        </w:rPr>
        <w:t>are extremely</w:t>
      </w:r>
      <w:r w:rsidRPr="008E7136">
        <w:rPr>
          <w:b w:val="0"/>
          <w:color w:val="414042"/>
        </w:rPr>
        <w:t xml:space="preserve"> concern</w:t>
      </w:r>
      <w:r>
        <w:rPr>
          <w:b w:val="0"/>
          <w:color w:val="414042"/>
        </w:rPr>
        <w:t>ed</w:t>
      </w:r>
      <w:r w:rsidRPr="008E7136">
        <w:rPr>
          <w:b w:val="0"/>
          <w:color w:val="414042"/>
        </w:rPr>
        <w:t xml:space="preserve"> about the</w:t>
      </w:r>
      <w:r>
        <w:rPr>
          <w:b w:val="0"/>
          <w:color w:val="414042"/>
        </w:rPr>
        <w:t xml:space="preserve"> impact the pandemic has had and will continue to have on the</w:t>
      </w:r>
      <w:r w:rsidRPr="008E7136">
        <w:rPr>
          <w:b w:val="0"/>
          <w:color w:val="414042"/>
        </w:rPr>
        <w:t xml:space="preserve"> </w:t>
      </w:r>
      <w:r>
        <w:rPr>
          <w:b w:val="0"/>
          <w:color w:val="414042"/>
        </w:rPr>
        <w:t>emotional wellbeing and mental health o</w:t>
      </w:r>
      <w:r w:rsidRPr="008E7136">
        <w:rPr>
          <w:b w:val="0"/>
          <w:color w:val="414042"/>
        </w:rPr>
        <w:t>f</w:t>
      </w:r>
      <w:r>
        <w:rPr>
          <w:b w:val="0"/>
          <w:color w:val="414042"/>
        </w:rPr>
        <w:t xml:space="preserve"> all </w:t>
      </w:r>
      <w:r w:rsidR="00520E26">
        <w:rPr>
          <w:b w:val="0"/>
          <w:color w:val="414042"/>
        </w:rPr>
        <w:t xml:space="preserve">children and </w:t>
      </w:r>
      <w:r>
        <w:rPr>
          <w:b w:val="0"/>
          <w:color w:val="414042"/>
        </w:rPr>
        <w:t xml:space="preserve">young people, </w:t>
      </w:r>
      <w:r w:rsidR="006E404C">
        <w:rPr>
          <w:b w:val="0"/>
          <w:color w:val="414042"/>
        </w:rPr>
        <w:t>and</w:t>
      </w:r>
      <w:r>
        <w:rPr>
          <w:b w:val="0"/>
          <w:color w:val="414042"/>
        </w:rPr>
        <w:t>, we are particularly concerned about the needs of</w:t>
      </w:r>
      <w:r w:rsidRPr="008E7136">
        <w:rPr>
          <w:b w:val="0"/>
          <w:color w:val="414042"/>
        </w:rPr>
        <w:t xml:space="preserve"> </w:t>
      </w:r>
      <w:r>
        <w:rPr>
          <w:b w:val="0"/>
          <w:color w:val="414042"/>
        </w:rPr>
        <w:t xml:space="preserve">those already most disadvantaged, such as those whose ability to access emotional wellbeing and mental health support was very poor before the pandemic and is likely to have worsened since then. </w:t>
      </w:r>
      <w:r w:rsidRPr="008E7136">
        <w:rPr>
          <w:b w:val="0"/>
          <w:color w:val="414042"/>
        </w:rPr>
        <w:t xml:space="preserve"> </w:t>
      </w:r>
      <w:r w:rsidR="00C00DBC">
        <w:rPr>
          <w:b w:val="0"/>
          <w:color w:val="414042"/>
        </w:rPr>
        <w:t xml:space="preserve">NICCY will be publishing a report </w:t>
      </w:r>
      <w:r w:rsidR="0064685C">
        <w:rPr>
          <w:b w:val="0"/>
          <w:color w:val="414042"/>
        </w:rPr>
        <w:t>later this year</w:t>
      </w:r>
      <w:r w:rsidR="00C00DBC">
        <w:rPr>
          <w:b w:val="0"/>
          <w:color w:val="414042"/>
        </w:rPr>
        <w:t xml:space="preserve"> which will focus on the impact of covid-19 on children’s rights</w:t>
      </w:r>
      <w:r w:rsidR="0064685C">
        <w:rPr>
          <w:b w:val="0"/>
          <w:color w:val="414042"/>
        </w:rPr>
        <w:t>, which</w:t>
      </w:r>
      <w:r w:rsidR="00C00DBC">
        <w:rPr>
          <w:b w:val="0"/>
          <w:color w:val="414042"/>
        </w:rPr>
        <w:t xml:space="preserve"> will include the impact on their well</w:t>
      </w:r>
      <w:r w:rsidR="00F15D92">
        <w:rPr>
          <w:b w:val="0"/>
          <w:color w:val="414042"/>
        </w:rPr>
        <w:t>be</w:t>
      </w:r>
      <w:r w:rsidR="00C00DBC">
        <w:rPr>
          <w:b w:val="0"/>
          <w:color w:val="414042"/>
        </w:rPr>
        <w:t xml:space="preserve">ing and access to mental health services and support. </w:t>
      </w:r>
    </w:p>
    <w:p w14:paraId="68A2F9C5" w14:textId="77777777" w:rsidR="00395A92" w:rsidRDefault="00395A92" w:rsidP="00395A92">
      <w:pPr>
        <w:pStyle w:val="NICCYSubTitle"/>
        <w:rPr>
          <w:b w:val="0"/>
          <w:color w:val="414042"/>
        </w:rPr>
      </w:pPr>
    </w:p>
    <w:p w14:paraId="4F54F2C0" w14:textId="77777777" w:rsidR="00395A92" w:rsidRPr="001816A2" w:rsidRDefault="00395A92" w:rsidP="00395A92">
      <w:pPr>
        <w:pStyle w:val="NICCYBodyText"/>
        <w:rPr>
          <w:b/>
          <w:i/>
        </w:rPr>
      </w:pPr>
      <w:r>
        <w:t>I</w:t>
      </w:r>
      <w:r w:rsidRPr="00BF0E9D">
        <w:t>n its recent</w:t>
      </w:r>
      <w:r>
        <w:rPr>
          <w:b/>
        </w:rPr>
        <w:t xml:space="preserve"> </w:t>
      </w:r>
      <w:r w:rsidRPr="00BF0E9D">
        <w:t>State</w:t>
      </w:r>
      <w:r>
        <w:t>ment on</w:t>
      </w:r>
      <w:r w:rsidRPr="00BF0E9D">
        <w:t xml:space="preserve"> Child</w:t>
      </w:r>
      <w:r>
        <w:t>ren’s</w:t>
      </w:r>
      <w:r w:rsidRPr="00BF0E9D">
        <w:t xml:space="preserve"> Rights in Northern Ireland report (SOCRNI </w:t>
      </w:r>
      <w:r w:rsidRPr="00A11C2B">
        <w:t>2)</w:t>
      </w:r>
      <w:r>
        <w:rPr>
          <w:rStyle w:val="FootnoteReference"/>
        </w:rPr>
        <w:footnoteReference w:id="6"/>
      </w:r>
      <w:r>
        <w:t xml:space="preserve">, </w:t>
      </w:r>
      <w:r w:rsidRPr="00BF0E9D">
        <w:t xml:space="preserve">NICCY highlighted the need for </w:t>
      </w:r>
      <w:r>
        <w:t xml:space="preserve">Government </w:t>
      </w:r>
      <w:r w:rsidRPr="00BF0E9D">
        <w:t xml:space="preserve">action in </w:t>
      </w:r>
      <w:r w:rsidR="0064685C">
        <w:t>response to the pandemic</w:t>
      </w:r>
      <w:r w:rsidRPr="00A11C2B">
        <w:t xml:space="preserve">, </w:t>
      </w:r>
      <w:r>
        <w:t>by</w:t>
      </w:r>
      <w:r w:rsidRPr="00A11C2B">
        <w:t xml:space="preserve"> </w:t>
      </w:r>
      <w:r>
        <w:t xml:space="preserve">ensuring that </w:t>
      </w:r>
      <w:r w:rsidRPr="009C5C8F">
        <w:rPr>
          <w:b/>
        </w:rPr>
        <w:t xml:space="preserve">“adequate mental health provision is in place to meet the needs of children and young people affected by the Covid-19 public health crisis. To include </w:t>
      </w:r>
      <w:r w:rsidRPr="009C5C8F">
        <w:rPr>
          <w:b/>
        </w:rPr>
        <w:lastRenderedPageBreak/>
        <w:t>a proactive response to reducing pandemic-related adversities that are known to harm mental health, for example, pre-existing mental health problems or disabilities, domestic violence, abuse and poverty.” (p41)</w:t>
      </w:r>
    </w:p>
    <w:p w14:paraId="08F19714" w14:textId="77777777" w:rsidR="00395A92" w:rsidRDefault="00395A92" w:rsidP="00F51DFB">
      <w:pPr>
        <w:jc w:val="both"/>
        <w:rPr>
          <w:rFonts w:ascii="Arial" w:eastAsiaTheme="minorEastAsia" w:hAnsi="Arial" w:cs="Arial"/>
          <w:color w:val="414042"/>
          <w:sz w:val="24"/>
          <w:szCs w:val="24"/>
        </w:rPr>
      </w:pPr>
    </w:p>
    <w:p w14:paraId="373DA040" w14:textId="77777777" w:rsidR="00F51DFB" w:rsidRPr="00FD6FC0" w:rsidRDefault="00F51DFB" w:rsidP="00FE11EC">
      <w:pPr>
        <w:spacing w:line="276" w:lineRule="auto"/>
        <w:jc w:val="both"/>
        <w:rPr>
          <w:rFonts w:ascii="Arial" w:eastAsiaTheme="minorEastAsia" w:hAnsi="Arial" w:cs="Arial"/>
          <w:color w:val="414042"/>
          <w:sz w:val="24"/>
          <w:szCs w:val="24"/>
        </w:rPr>
      </w:pPr>
      <w:r w:rsidRPr="00FD6FC0">
        <w:rPr>
          <w:rFonts w:ascii="Arial" w:eastAsiaTheme="minorEastAsia" w:hAnsi="Arial" w:cs="Arial"/>
          <w:color w:val="414042"/>
          <w:sz w:val="24"/>
          <w:szCs w:val="24"/>
        </w:rPr>
        <w:t>The response to the pandemi</w:t>
      </w:r>
      <w:r w:rsidR="0051606B">
        <w:rPr>
          <w:rFonts w:ascii="Arial" w:eastAsiaTheme="minorEastAsia" w:hAnsi="Arial" w:cs="Arial"/>
          <w:color w:val="414042"/>
          <w:sz w:val="24"/>
          <w:szCs w:val="24"/>
        </w:rPr>
        <w:t>c has also shown how quickly</w:t>
      </w:r>
      <w:r w:rsidRPr="00FD6FC0">
        <w:rPr>
          <w:rFonts w:ascii="Arial" w:eastAsiaTheme="minorEastAsia" w:hAnsi="Arial" w:cs="Arial"/>
          <w:color w:val="414042"/>
          <w:sz w:val="24"/>
          <w:szCs w:val="24"/>
        </w:rPr>
        <w:t xml:space="preserve"> services and systems can change when they have to</w:t>
      </w:r>
      <w:r w:rsidR="0051606B">
        <w:rPr>
          <w:rFonts w:ascii="Arial" w:eastAsiaTheme="minorEastAsia" w:hAnsi="Arial" w:cs="Arial"/>
          <w:color w:val="414042"/>
          <w:sz w:val="24"/>
          <w:szCs w:val="24"/>
        </w:rPr>
        <w:t>;</w:t>
      </w:r>
      <w:r>
        <w:rPr>
          <w:rFonts w:ascii="Arial" w:eastAsiaTheme="minorEastAsia" w:hAnsi="Arial" w:cs="Arial"/>
          <w:color w:val="414042"/>
          <w:sz w:val="24"/>
          <w:szCs w:val="24"/>
        </w:rPr>
        <w:t xml:space="preserve"> the introduction of </w:t>
      </w:r>
      <w:r w:rsidR="00A77C35">
        <w:rPr>
          <w:rFonts w:ascii="Arial" w:eastAsiaTheme="minorEastAsia" w:hAnsi="Arial" w:cs="Arial"/>
          <w:color w:val="414042"/>
          <w:sz w:val="24"/>
          <w:szCs w:val="24"/>
        </w:rPr>
        <w:t>electronic platforms for</w:t>
      </w:r>
      <w:r w:rsidR="00FE11EC">
        <w:rPr>
          <w:rFonts w:ascii="Arial" w:eastAsiaTheme="minorEastAsia" w:hAnsi="Arial" w:cs="Arial"/>
          <w:color w:val="414042"/>
          <w:sz w:val="24"/>
          <w:szCs w:val="24"/>
        </w:rPr>
        <w:t xml:space="preserve"> CAMHS appointments</w:t>
      </w:r>
      <w:r>
        <w:rPr>
          <w:rFonts w:ascii="Arial" w:eastAsiaTheme="minorEastAsia" w:hAnsi="Arial" w:cs="Arial"/>
          <w:color w:val="414042"/>
          <w:sz w:val="24"/>
          <w:szCs w:val="24"/>
        </w:rPr>
        <w:t xml:space="preserve"> </w:t>
      </w:r>
      <w:r w:rsidR="00A77C35">
        <w:rPr>
          <w:rFonts w:ascii="Arial" w:eastAsiaTheme="minorEastAsia" w:hAnsi="Arial" w:cs="Arial"/>
          <w:color w:val="414042"/>
          <w:sz w:val="24"/>
          <w:szCs w:val="24"/>
        </w:rPr>
        <w:t>and communication</w:t>
      </w:r>
      <w:r w:rsidR="0051606B">
        <w:rPr>
          <w:rFonts w:ascii="Arial" w:eastAsiaTheme="minorEastAsia" w:hAnsi="Arial" w:cs="Arial"/>
          <w:color w:val="414042"/>
          <w:sz w:val="24"/>
          <w:szCs w:val="24"/>
        </w:rPr>
        <w:t>,</w:t>
      </w:r>
      <w:r w:rsidR="00521A34">
        <w:rPr>
          <w:rFonts w:ascii="Arial" w:eastAsiaTheme="minorEastAsia" w:hAnsi="Arial" w:cs="Arial"/>
          <w:color w:val="414042"/>
          <w:sz w:val="24"/>
          <w:szCs w:val="24"/>
        </w:rPr>
        <w:t xml:space="preserve"> and</w:t>
      </w:r>
      <w:r w:rsidR="00AB2B6E">
        <w:rPr>
          <w:rFonts w:ascii="Arial" w:eastAsiaTheme="minorEastAsia" w:hAnsi="Arial" w:cs="Arial"/>
          <w:color w:val="414042"/>
          <w:sz w:val="24"/>
          <w:szCs w:val="24"/>
        </w:rPr>
        <w:t xml:space="preserve"> extended opening hours </w:t>
      </w:r>
      <w:r w:rsidR="0051606B">
        <w:rPr>
          <w:rFonts w:ascii="Arial" w:eastAsiaTheme="minorEastAsia" w:hAnsi="Arial" w:cs="Arial"/>
          <w:color w:val="414042"/>
          <w:sz w:val="24"/>
          <w:szCs w:val="24"/>
        </w:rPr>
        <w:t xml:space="preserve">which include </w:t>
      </w:r>
      <w:r w:rsidR="00AB2B6E">
        <w:rPr>
          <w:rFonts w:ascii="Arial" w:eastAsiaTheme="minorEastAsia" w:hAnsi="Arial" w:cs="Arial"/>
          <w:color w:val="414042"/>
          <w:sz w:val="24"/>
          <w:szCs w:val="24"/>
        </w:rPr>
        <w:t>evening and weekend clinics</w:t>
      </w:r>
      <w:r w:rsidR="00A77C35">
        <w:rPr>
          <w:rFonts w:ascii="Arial" w:eastAsiaTheme="minorEastAsia" w:hAnsi="Arial" w:cs="Arial"/>
          <w:color w:val="414042"/>
          <w:sz w:val="24"/>
          <w:szCs w:val="24"/>
        </w:rPr>
        <w:t xml:space="preserve"> </w:t>
      </w:r>
      <w:r w:rsidR="00521A34">
        <w:rPr>
          <w:rFonts w:ascii="Arial" w:eastAsiaTheme="minorEastAsia" w:hAnsi="Arial" w:cs="Arial"/>
          <w:color w:val="414042"/>
          <w:sz w:val="24"/>
          <w:szCs w:val="24"/>
        </w:rPr>
        <w:t>are</w:t>
      </w:r>
      <w:r>
        <w:rPr>
          <w:rFonts w:ascii="Arial" w:eastAsiaTheme="minorEastAsia" w:hAnsi="Arial" w:cs="Arial"/>
          <w:color w:val="414042"/>
          <w:sz w:val="24"/>
          <w:szCs w:val="24"/>
        </w:rPr>
        <w:t xml:space="preserve"> clear example</w:t>
      </w:r>
      <w:r w:rsidR="00AB2B6E">
        <w:rPr>
          <w:rFonts w:ascii="Arial" w:eastAsiaTheme="minorEastAsia" w:hAnsi="Arial" w:cs="Arial"/>
          <w:color w:val="414042"/>
          <w:sz w:val="24"/>
          <w:szCs w:val="24"/>
        </w:rPr>
        <w:t>s</w:t>
      </w:r>
      <w:r w:rsidRPr="00FD6FC0">
        <w:rPr>
          <w:rFonts w:ascii="Arial" w:eastAsiaTheme="minorEastAsia" w:hAnsi="Arial" w:cs="Arial"/>
          <w:color w:val="414042"/>
          <w:sz w:val="24"/>
          <w:szCs w:val="24"/>
        </w:rPr>
        <w:t xml:space="preserve">. We need to </w:t>
      </w:r>
      <w:r w:rsidR="00A87D1B">
        <w:rPr>
          <w:rFonts w:ascii="Arial" w:eastAsiaTheme="minorEastAsia" w:hAnsi="Arial" w:cs="Arial"/>
          <w:color w:val="414042"/>
          <w:sz w:val="24"/>
          <w:szCs w:val="24"/>
        </w:rPr>
        <w:t>maintain</w:t>
      </w:r>
      <w:r w:rsidRPr="00FD6FC0">
        <w:rPr>
          <w:rFonts w:ascii="Arial" w:eastAsiaTheme="minorEastAsia" w:hAnsi="Arial" w:cs="Arial"/>
          <w:color w:val="414042"/>
          <w:sz w:val="24"/>
          <w:szCs w:val="24"/>
        </w:rPr>
        <w:t xml:space="preserve"> that dynamism and use it to meet the ambitious</w:t>
      </w:r>
      <w:r>
        <w:rPr>
          <w:rFonts w:ascii="Arial" w:eastAsiaTheme="minorEastAsia" w:hAnsi="Arial" w:cs="Arial"/>
          <w:color w:val="414042"/>
          <w:sz w:val="24"/>
          <w:szCs w:val="24"/>
        </w:rPr>
        <w:t xml:space="preserve"> reform </w:t>
      </w:r>
      <w:r w:rsidR="0051606B">
        <w:rPr>
          <w:rFonts w:ascii="Arial" w:eastAsiaTheme="minorEastAsia" w:hAnsi="Arial" w:cs="Arial"/>
          <w:color w:val="414042"/>
          <w:sz w:val="24"/>
          <w:szCs w:val="24"/>
        </w:rPr>
        <w:t>requir</w:t>
      </w:r>
      <w:r>
        <w:rPr>
          <w:rFonts w:ascii="Arial" w:eastAsiaTheme="minorEastAsia" w:hAnsi="Arial" w:cs="Arial"/>
          <w:color w:val="414042"/>
          <w:sz w:val="24"/>
          <w:szCs w:val="24"/>
        </w:rPr>
        <w:t>ed,</w:t>
      </w:r>
      <w:r w:rsidRPr="00FD6FC0">
        <w:rPr>
          <w:rFonts w:ascii="Arial" w:eastAsiaTheme="minorEastAsia" w:hAnsi="Arial" w:cs="Arial"/>
          <w:color w:val="414042"/>
          <w:sz w:val="24"/>
          <w:szCs w:val="24"/>
        </w:rPr>
        <w:t xml:space="preserve"> to create a mental health care system </w:t>
      </w:r>
      <w:r>
        <w:rPr>
          <w:rFonts w:ascii="Arial" w:eastAsiaTheme="minorEastAsia" w:hAnsi="Arial" w:cs="Arial"/>
          <w:color w:val="414042"/>
          <w:sz w:val="24"/>
          <w:szCs w:val="24"/>
        </w:rPr>
        <w:t>that meets the needs of children and young people.</w:t>
      </w:r>
    </w:p>
    <w:p w14:paraId="523983C0" w14:textId="77777777" w:rsidR="00700B4E" w:rsidRDefault="00700B4E" w:rsidP="00700B4E">
      <w:pPr>
        <w:spacing w:line="276" w:lineRule="auto"/>
        <w:ind w:right="-433"/>
        <w:rPr>
          <w:rFonts w:ascii="Arial" w:eastAsiaTheme="minorEastAsia" w:hAnsi="Arial" w:cs="Arial"/>
          <w:color w:val="414042"/>
          <w:sz w:val="24"/>
          <w:szCs w:val="24"/>
        </w:rPr>
      </w:pPr>
    </w:p>
    <w:p w14:paraId="0380480D" w14:textId="77777777" w:rsidR="00ED7219" w:rsidRPr="00ED7219" w:rsidRDefault="00444C46" w:rsidP="00700B4E">
      <w:pPr>
        <w:spacing w:line="276" w:lineRule="auto"/>
        <w:ind w:right="-433"/>
        <w:rPr>
          <w:rFonts w:ascii="Arial" w:eastAsiaTheme="minorEastAsia" w:hAnsi="Arial" w:cs="Arial"/>
          <w:b/>
          <w:color w:val="414042"/>
          <w:sz w:val="24"/>
          <w:szCs w:val="24"/>
        </w:rPr>
      </w:pPr>
      <w:r>
        <w:rPr>
          <w:rFonts w:ascii="Arial" w:eastAsiaTheme="minorEastAsia" w:hAnsi="Arial" w:cs="Arial"/>
          <w:b/>
          <w:color w:val="414042"/>
          <w:sz w:val="24"/>
          <w:szCs w:val="24"/>
        </w:rPr>
        <w:t>NICCY</w:t>
      </w:r>
      <w:r w:rsidR="00ED7219" w:rsidRPr="00ED7219">
        <w:rPr>
          <w:rFonts w:ascii="Arial" w:eastAsiaTheme="minorEastAsia" w:hAnsi="Arial" w:cs="Arial"/>
          <w:b/>
          <w:color w:val="414042"/>
          <w:sz w:val="24"/>
          <w:szCs w:val="24"/>
        </w:rPr>
        <w:t xml:space="preserve"> recommend</w:t>
      </w:r>
      <w:r>
        <w:rPr>
          <w:rFonts w:ascii="Arial" w:eastAsiaTheme="minorEastAsia" w:hAnsi="Arial" w:cs="Arial"/>
          <w:b/>
          <w:color w:val="414042"/>
          <w:sz w:val="24"/>
          <w:szCs w:val="24"/>
        </w:rPr>
        <w:t>s</w:t>
      </w:r>
      <w:r w:rsidR="00ED7219" w:rsidRPr="00ED7219">
        <w:rPr>
          <w:rFonts w:ascii="Arial" w:eastAsiaTheme="minorEastAsia" w:hAnsi="Arial" w:cs="Arial"/>
          <w:b/>
          <w:color w:val="414042"/>
          <w:sz w:val="24"/>
          <w:szCs w:val="24"/>
        </w:rPr>
        <w:t xml:space="preserve"> that service changes introduced in response to COVID are </w:t>
      </w:r>
      <w:r w:rsidR="00847321">
        <w:rPr>
          <w:rFonts w:ascii="Arial" w:eastAsiaTheme="minorEastAsia" w:hAnsi="Arial" w:cs="Arial"/>
          <w:b/>
          <w:color w:val="414042"/>
          <w:sz w:val="24"/>
          <w:szCs w:val="24"/>
        </w:rPr>
        <w:t>retained</w:t>
      </w:r>
      <w:r w:rsidR="00ED7219" w:rsidRPr="00ED7219">
        <w:rPr>
          <w:rFonts w:ascii="Arial" w:eastAsiaTheme="minorEastAsia" w:hAnsi="Arial" w:cs="Arial"/>
          <w:b/>
          <w:color w:val="414042"/>
          <w:sz w:val="24"/>
          <w:szCs w:val="24"/>
        </w:rPr>
        <w:t xml:space="preserve"> and mainstreamed where they will provide greater flexibility, choice and improved </w:t>
      </w:r>
      <w:r w:rsidR="00847321">
        <w:rPr>
          <w:rFonts w:ascii="Arial" w:eastAsiaTheme="minorEastAsia" w:hAnsi="Arial" w:cs="Arial"/>
          <w:b/>
          <w:color w:val="414042"/>
          <w:sz w:val="24"/>
          <w:szCs w:val="24"/>
        </w:rPr>
        <w:t xml:space="preserve">access and </w:t>
      </w:r>
      <w:r w:rsidR="00ED7219" w:rsidRPr="00ED7219">
        <w:rPr>
          <w:rFonts w:ascii="Arial" w:eastAsiaTheme="minorEastAsia" w:hAnsi="Arial" w:cs="Arial"/>
          <w:b/>
          <w:color w:val="414042"/>
          <w:sz w:val="24"/>
          <w:szCs w:val="24"/>
        </w:rPr>
        <w:t xml:space="preserve">quality of care to children and young people. </w:t>
      </w:r>
    </w:p>
    <w:p w14:paraId="6B58D264" w14:textId="77777777" w:rsidR="00ED7219" w:rsidRDefault="00ED7219" w:rsidP="00700B4E">
      <w:pPr>
        <w:spacing w:line="276" w:lineRule="auto"/>
        <w:ind w:right="-433"/>
        <w:rPr>
          <w:rFonts w:ascii="Arial" w:eastAsiaTheme="minorEastAsia" w:hAnsi="Arial" w:cs="Arial"/>
          <w:color w:val="414042"/>
          <w:sz w:val="24"/>
          <w:szCs w:val="24"/>
        </w:rPr>
      </w:pPr>
    </w:p>
    <w:p w14:paraId="498C44F5" w14:textId="77777777" w:rsidR="0093423B" w:rsidRDefault="0093423B" w:rsidP="0093423B">
      <w:pPr>
        <w:pStyle w:val="NICCYSubTitle"/>
      </w:pPr>
      <w:r>
        <w:t xml:space="preserve">Mental Health Data </w:t>
      </w:r>
    </w:p>
    <w:p w14:paraId="253E43F2" w14:textId="77777777" w:rsidR="0093423B" w:rsidRPr="00146C87" w:rsidRDefault="0093423B" w:rsidP="0093423B">
      <w:pPr>
        <w:pStyle w:val="NICCYBodyText"/>
      </w:pPr>
      <w:r w:rsidRPr="00FE11EC">
        <w:t>The need to improve data collection and monitoring has been a long standing recommendation by NICCY and we are delighted to see the first prevalence survey on children and young people’s mental health being published in October</w:t>
      </w:r>
      <w:r w:rsidR="00B07F4F">
        <w:t xml:space="preserve"> 2020</w:t>
      </w:r>
      <w:r>
        <w:t>.</w:t>
      </w:r>
      <w:r>
        <w:rPr>
          <w:rStyle w:val="FootnoteReference"/>
        </w:rPr>
        <w:footnoteReference w:id="7"/>
      </w:r>
      <w:r>
        <w:t xml:space="preserve"> T</w:t>
      </w:r>
      <w:r w:rsidRPr="00FE11EC">
        <w:t xml:space="preserve">he information coming from this </w:t>
      </w:r>
      <w:r>
        <w:t>research fills a significant gap in the</w:t>
      </w:r>
      <w:r w:rsidRPr="00FE11EC">
        <w:t xml:space="preserve"> evidence base for those developing strateg</w:t>
      </w:r>
      <w:r w:rsidR="00847321">
        <w:t>ies</w:t>
      </w:r>
      <w:r w:rsidRPr="00FE11EC">
        <w:t xml:space="preserve"> and planning and delivering services.  </w:t>
      </w:r>
      <w:r>
        <w:t>We welcome the Department</w:t>
      </w:r>
      <w:r w:rsidR="00847321">
        <w:t>’</w:t>
      </w:r>
      <w:r>
        <w:t xml:space="preserve">s commitment to using the information to shape the Mental Health Strategy and funding a dedicated </w:t>
      </w:r>
      <w:r w:rsidRPr="00146C87">
        <w:t xml:space="preserve">data analyst post </w:t>
      </w:r>
      <w:r w:rsidR="00847321">
        <w:t>‘</w:t>
      </w:r>
      <w:r w:rsidRPr="00146C87">
        <w:t>to ensure the data is mined to its full potential while it remains relevant and current.</w:t>
      </w:r>
      <w:r>
        <w:t>’</w:t>
      </w:r>
    </w:p>
    <w:p w14:paraId="60C165B1" w14:textId="77777777" w:rsidR="0093423B" w:rsidRDefault="0093423B" w:rsidP="0093423B">
      <w:pPr>
        <w:pStyle w:val="NICCYBodyText"/>
        <w:rPr>
          <w:b/>
          <w:color w:val="23A4DE"/>
        </w:rPr>
      </w:pPr>
    </w:p>
    <w:p w14:paraId="76671BC7" w14:textId="5A149DD2" w:rsidR="0093423B" w:rsidRDefault="0093423B" w:rsidP="0093423B">
      <w:pPr>
        <w:pStyle w:val="NICCYBodyText"/>
      </w:pPr>
      <w:r w:rsidRPr="00936207">
        <w:t xml:space="preserve">We also </w:t>
      </w:r>
      <w:r>
        <w:t xml:space="preserve">wish to acknowledge the ongoing work to establish a comprehensive standardised mental health database, however, there continues to be significant gaps in what is collected and what data is available in the public domain. In the absence of a publicly available comprehensive CAMHS Dataset, NICCY has published a report which is a compilation </w:t>
      </w:r>
      <w:r w:rsidRPr="008E339F">
        <w:t xml:space="preserve">of mental health data it has been reviewing and collecting between 2017-2020. </w:t>
      </w:r>
      <w:r w:rsidR="00847321" w:rsidRPr="008E339F">
        <w:t xml:space="preserve"> </w:t>
      </w:r>
      <w:r w:rsidRPr="008E339F">
        <w:t>A review of the data provides a</w:t>
      </w:r>
      <w:r>
        <w:t xml:space="preserve"> useful indication of whether and to what extent</w:t>
      </w:r>
      <w:r w:rsidR="00847321">
        <w:t>,</w:t>
      </w:r>
      <w:r>
        <w:t xml:space="preserve"> improvements are being made against recommendations from Still Waiting. Some of the key reflections are outlined below</w:t>
      </w:r>
      <w:r w:rsidR="003B47EA">
        <w:t>, and further detail on each area is available from the mental health data report</w:t>
      </w:r>
      <w:r w:rsidR="008E339F">
        <w:t xml:space="preserve"> which has been published as part of the monitoring process.</w:t>
      </w:r>
      <w:r w:rsidR="0055275C">
        <w:rPr>
          <w:rStyle w:val="FootnoteReference"/>
        </w:rPr>
        <w:footnoteReference w:id="8"/>
      </w:r>
    </w:p>
    <w:p w14:paraId="6CA19162" w14:textId="77777777" w:rsidR="0093423B" w:rsidRDefault="0093423B" w:rsidP="0093423B">
      <w:pPr>
        <w:pStyle w:val="NICCYBodyText"/>
        <w:rPr>
          <w:b/>
        </w:rPr>
      </w:pPr>
    </w:p>
    <w:p w14:paraId="0D53529E" w14:textId="77777777" w:rsidR="0093423B" w:rsidRDefault="0093423B" w:rsidP="0093423B">
      <w:pPr>
        <w:pStyle w:val="NICCYBodyText"/>
        <w:rPr>
          <w:b/>
        </w:rPr>
      </w:pPr>
      <w:r w:rsidRPr="0030659F">
        <w:rPr>
          <w:b/>
        </w:rPr>
        <w:t xml:space="preserve">Pressure on </w:t>
      </w:r>
      <w:r w:rsidR="00B07F4F" w:rsidRPr="0030659F">
        <w:rPr>
          <w:b/>
        </w:rPr>
        <w:t xml:space="preserve">GP </w:t>
      </w:r>
      <w:r w:rsidRPr="0030659F">
        <w:rPr>
          <w:b/>
        </w:rPr>
        <w:t xml:space="preserve">system to take the </w:t>
      </w:r>
      <w:r w:rsidR="00B07F4F">
        <w:rPr>
          <w:b/>
        </w:rPr>
        <w:t>bulk of referrals continues</w:t>
      </w:r>
    </w:p>
    <w:p w14:paraId="50952E2C" w14:textId="02D091C3" w:rsidR="0093423B" w:rsidRDefault="0093423B" w:rsidP="0093423B">
      <w:pPr>
        <w:pStyle w:val="NICCYBodyTest"/>
      </w:pPr>
      <w:r>
        <w:t>Data shows</w:t>
      </w:r>
      <w:r w:rsidRPr="00FD283F">
        <w:t xml:space="preserve"> that </w:t>
      </w:r>
      <w:r>
        <w:t xml:space="preserve">of a list of 13 potential referrals sources, </w:t>
      </w:r>
      <w:r w:rsidR="00CF4279">
        <w:t>three-quarter</w:t>
      </w:r>
      <w:r w:rsidRPr="00FD283F">
        <w:t xml:space="preserve">s of all referrals </w:t>
      </w:r>
      <w:r w:rsidR="008E6CC3">
        <w:t xml:space="preserve">continue to be </w:t>
      </w:r>
      <w:r w:rsidR="008E6CC3" w:rsidRPr="00FD283F">
        <w:t>made</w:t>
      </w:r>
      <w:r w:rsidRPr="00FD283F">
        <w:t xml:space="preserve"> via GP</w:t>
      </w:r>
      <w:r w:rsidR="00847321">
        <w:t>s</w:t>
      </w:r>
      <w:r w:rsidRPr="00FD283F">
        <w:t>.</w:t>
      </w:r>
      <w:r>
        <w:t xml:space="preserve"> NICCY made a number of recommendations regarding pathways and referral processes in Still Waiting (Rec</w:t>
      </w:r>
      <w:r w:rsidR="00847321">
        <w:t>’s</w:t>
      </w:r>
      <w:r>
        <w:t xml:space="preserve"> 2-4, p274), the intention being to simpl</w:t>
      </w:r>
      <w:r w:rsidR="00CB79F0">
        <w:t>if</w:t>
      </w:r>
      <w:r>
        <w:t xml:space="preserve">y referral pathways and ensure that those professionals </w:t>
      </w:r>
      <w:r w:rsidR="00847321">
        <w:t>who</w:t>
      </w:r>
      <w:r>
        <w:t xml:space="preserve"> know young people best are positioned to refer to CAMHS.</w:t>
      </w:r>
      <w:r w:rsidR="003B47EA">
        <w:t xml:space="preserve"> </w:t>
      </w:r>
      <w:r w:rsidRPr="0030659F">
        <w:t xml:space="preserve">The IDG Still Waiting Action Plan </w:t>
      </w:r>
      <w:r w:rsidR="003B47EA">
        <w:t xml:space="preserve">has </w:t>
      </w:r>
      <w:r w:rsidRPr="0030659F">
        <w:t xml:space="preserve">acknowledged that robust </w:t>
      </w:r>
      <w:r w:rsidRPr="004666E5">
        <w:t>protocols and capacity building would be required to reconfigure referral routes in this way.</w:t>
      </w:r>
      <w:r w:rsidR="00691F0A" w:rsidRPr="004666E5">
        <w:t xml:space="preserve"> Although we welcome </w:t>
      </w:r>
      <w:r w:rsidR="006E402E" w:rsidRPr="004666E5">
        <w:t xml:space="preserve">the efforts to </w:t>
      </w:r>
      <w:r w:rsidR="004666E5">
        <w:t xml:space="preserve">support GP surgeries </w:t>
      </w:r>
      <w:r w:rsidR="00847321">
        <w:t>in</w:t>
      </w:r>
      <w:r w:rsidR="004666E5">
        <w:t xml:space="preserve"> respond</w:t>
      </w:r>
      <w:r w:rsidR="00847321">
        <w:t>ing</w:t>
      </w:r>
      <w:r w:rsidR="004666E5">
        <w:t xml:space="preserve"> to children’s mental health, </w:t>
      </w:r>
      <w:r w:rsidR="00847321">
        <w:t>it</w:t>
      </w:r>
      <w:r w:rsidR="004666E5">
        <w:t xml:space="preserve"> remain</w:t>
      </w:r>
      <w:r w:rsidR="00847321">
        <w:t>s</w:t>
      </w:r>
      <w:r w:rsidR="004666E5">
        <w:t xml:space="preserve"> unclear </w:t>
      </w:r>
      <w:r w:rsidR="00847321">
        <w:t xml:space="preserve">as to </w:t>
      </w:r>
      <w:r w:rsidR="004666E5">
        <w:t xml:space="preserve">the impact of actions taken to date.  </w:t>
      </w:r>
    </w:p>
    <w:p w14:paraId="06191F5C" w14:textId="77777777" w:rsidR="0093423B" w:rsidRDefault="0093423B" w:rsidP="0093423B">
      <w:pPr>
        <w:pStyle w:val="NICCYBodyText"/>
      </w:pPr>
    </w:p>
    <w:p w14:paraId="0CD4C9F1" w14:textId="77777777" w:rsidR="0093423B" w:rsidRPr="0030659F" w:rsidRDefault="0093423B" w:rsidP="0093423B">
      <w:pPr>
        <w:pStyle w:val="NICCYBodyText"/>
        <w:rPr>
          <w:b/>
        </w:rPr>
      </w:pPr>
      <w:r w:rsidRPr="0030659F">
        <w:rPr>
          <w:b/>
        </w:rPr>
        <w:t xml:space="preserve">Non-acceptance data for Step 3 </w:t>
      </w:r>
      <w:r w:rsidR="00045C17">
        <w:rPr>
          <w:b/>
        </w:rPr>
        <w:t>(</w:t>
      </w:r>
      <w:r w:rsidRPr="0030659F">
        <w:rPr>
          <w:b/>
        </w:rPr>
        <w:t>core</w:t>
      </w:r>
      <w:r w:rsidR="00045C17">
        <w:rPr>
          <w:b/>
        </w:rPr>
        <w:t>)</w:t>
      </w:r>
      <w:r w:rsidRPr="0030659F">
        <w:rPr>
          <w:b/>
        </w:rPr>
        <w:t xml:space="preserve"> CAMHS no longer available</w:t>
      </w:r>
    </w:p>
    <w:p w14:paraId="5A53DAE5" w14:textId="5C670D30" w:rsidR="003B47EA" w:rsidRPr="00EE7186" w:rsidRDefault="004D590C" w:rsidP="00EE7186">
      <w:pPr>
        <w:pStyle w:val="NICCYBodyTest"/>
      </w:pPr>
      <w:r>
        <w:t>In ‘Still Waiting’, NICCY raised considerable concerns about the proportion of young people not accepted for Step 3 /</w:t>
      </w:r>
      <w:r w:rsidR="00847321">
        <w:t xml:space="preserve"> </w:t>
      </w:r>
      <w:r>
        <w:t>Core CAMHS between 2014-2016. Unfortunately, a re-configuration of services</w:t>
      </w:r>
      <w:r w:rsidR="004D1F5D">
        <w:t xml:space="preserve"> (single referral pathway system) has led to a change in the way data is collected</w:t>
      </w:r>
      <w:r>
        <w:t>, therefore we are unable to track this statistic from 2016 onwards.</w:t>
      </w:r>
      <w:r w:rsidR="00BB0128">
        <w:t xml:space="preserve"> </w:t>
      </w:r>
      <w:r>
        <w:t>Global level data</w:t>
      </w:r>
      <w:r w:rsidR="0093423B">
        <w:t xml:space="preserve"> </w:t>
      </w:r>
      <w:r>
        <w:t xml:space="preserve">which relates to </w:t>
      </w:r>
      <w:r w:rsidR="000373F4">
        <w:t>any</w:t>
      </w:r>
      <w:r>
        <w:t xml:space="preserve"> CAMHS services (Step 2, Step 3 / Core, Eating Disorder, Crisis Response Home Treatment (CRHT) &amp; Drug and Alcohol Mental Health Service (DAMHS))</w:t>
      </w:r>
      <w:r w:rsidR="0093423B">
        <w:t xml:space="preserve"> shows that there are a significant number of young people referred to CAMHS for whom CAMHS is not deemed appropriate and therefore require other forms of support. </w:t>
      </w:r>
      <w:r w:rsidR="00847321">
        <w:t xml:space="preserve"> </w:t>
      </w:r>
      <w:r>
        <w:t>A</w:t>
      </w:r>
      <w:r w:rsidR="0093423B">
        <w:t xml:space="preserve"> review of all (global) referral acceptance rates shows variation in the </w:t>
      </w:r>
      <w:r w:rsidR="00CF4279">
        <w:t>rate</w:t>
      </w:r>
      <w:r w:rsidR="0093423B">
        <w:t xml:space="preserve"> of referrals accepted across HSCTs. </w:t>
      </w:r>
      <w:r w:rsidR="00847321">
        <w:t xml:space="preserve"> </w:t>
      </w:r>
      <w:r w:rsidR="003B47EA" w:rsidRPr="006E404C">
        <w:rPr>
          <w:b/>
        </w:rPr>
        <w:t>NICCY continues to call for a system to track young people moving between services within the Stepped Care Model for CAMHS</w:t>
      </w:r>
      <w:r w:rsidR="00EE7186">
        <w:rPr>
          <w:b/>
        </w:rPr>
        <w:t>,</w:t>
      </w:r>
      <w:r w:rsidR="003B47EA" w:rsidRPr="006E404C">
        <w:rPr>
          <w:b/>
        </w:rPr>
        <w:t xml:space="preserve"> which would monitor the length of time and pathways required for young people to access support, to include young people not accepted for referral to Step 3 CAMHS </w:t>
      </w:r>
      <w:r w:rsidR="003B47EA">
        <w:t xml:space="preserve">(Rec 47, p.278). </w:t>
      </w:r>
      <w:r w:rsidR="003B47EA" w:rsidRPr="0030659F">
        <w:t xml:space="preserve">The IDG Still Waiting Action Plan </w:t>
      </w:r>
      <w:r w:rsidR="003B47EA">
        <w:t xml:space="preserve">reports that </w:t>
      </w:r>
      <w:r w:rsidR="0019693B">
        <w:t>‘</w:t>
      </w:r>
      <w:r w:rsidR="003B47EA">
        <w:t>c</w:t>
      </w:r>
      <w:r w:rsidR="003B47EA" w:rsidRPr="003B47EA">
        <w:t xml:space="preserve">onsideration </w:t>
      </w:r>
      <w:r w:rsidR="003B47EA">
        <w:t xml:space="preserve">is </w:t>
      </w:r>
      <w:r w:rsidR="003B47EA" w:rsidRPr="003B47EA">
        <w:t>ongoing re</w:t>
      </w:r>
      <w:r w:rsidR="003B47EA">
        <w:t>garding</w:t>
      </w:r>
      <w:r w:rsidR="003B47EA" w:rsidRPr="003B47EA">
        <w:t xml:space="preserve"> options for tracking non-accepted referrals</w:t>
      </w:r>
      <w:r w:rsidR="0019693B">
        <w:t>’</w:t>
      </w:r>
      <w:r w:rsidR="003B47EA">
        <w:t>.</w:t>
      </w:r>
      <w:r w:rsidR="003246BD">
        <w:t xml:space="preserve"> </w:t>
      </w:r>
    </w:p>
    <w:p w14:paraId="5E0173CF" w14:textId="77777777" w:rsidR="003B47EA" w:rsidRDefault="003B47EA" w:rsidP="003B47EA">
      <w:pPr>
        <w:pStyle w:val="NICCYBodyTest"/>
      </w:pPr>
    </w:p>
    <w:p w14:paraId="78C4A643" w14:textId="77777777" w:rsidR="0093423B" w:rsidRDefault="00B07F4F" w:rsidP="0093423B">
      <w:pPr>
        <w:pStyle w:val="NICCYBodyText"/>
        <w:rPr>
          <w:b/>
        </w:rPr>
      </w:pPr>
      <w:r>
        <w:rPr>
          <w:b/>
        </w:rPr>
        <w:t>No improvement in w</w:t>
      </w:r>
      <w:r w:rsidR="000B7EA3">
        <w:rPr>
          <w:b/>
        </w:rPr>
        <w:t>aiting t</w:t>
      </w:r>
      <w:r w:rsidR="0093423B" w:rsidRPr="00A14441">
        <w:rPr>
          <w:b/>
        </w:rPr>
        <w:t>i</w:t>
      </w:r>
      <w:r w:rsidR="000B7EA3">
        <w:rPr>
          <w:b/>
        </w:rPr>
        <w:t>mes for a</w:t>
      </w:r>
      <w:r w:rsidR="0093423B">
        <w:rPr>
          <w:b/>
        </w:rPr>
        <w:t>ccess to CAMHS</w:t>
      </w:r>
      <w:r>
        <w:rPr>
          <w:b/>
        </w:rPr>
        <w:t xml:space="preserve"> </w:t>
      </w:r>
    </w:p>
    <w:p w14:paraId="2B2B3EEB" w14:textId="77777777" w:rsidR="0093423B" w:rsidRPr="00D40B61" w:rsidRDefault="00BB0128" w:rsidP="0093423B">
      <w:pPr>
        <w:pStyle w:val="NICCYBodyText"/>
      </w:pPr>
      <w:r>
        <w:t>Data shows that t</w:t>
      </w:r>
      <w:r w:rsidR="0093423B" w:rsidRPr="00D40B61">
        <w:t xml:space="preserve">he number of young people waiting and </w:t>
      </w:r>
      <w:r w:rsidR="0093423B">
        <w:t xml:space="preserve">the </w:t>
      </w:r>
      <w:r w:rsidR="0093423B" w:rsidRPr="00D40B61">
        <w:t>length of time young people are waiting are both increasing</w:t>
      </w:r>
      <w:r>
        <w:t xml:space="preserve"> for CAMHS and Psychological Therapies.</w:t>
      </w:r>
    </w:p>
    <w:p w14:paraId="35198A79" w14:textId="77777777" w:rsidR="0093423B" w:rsidRDefault="0093423B" w:rsidP="0019693B">
      <w:pPr>
        <w:pStyle w:val="NICCYBodyTest"/>
      </w:pPr>
      <w:r>
        <w:t xml:space="preserve">A common explanation from HSCTs regarding spikes in waiting times </w:t>
      </w:r>
      <w:r w:rsidR="00BB0128">
        <w:t xml:space="preserve">for CAMHS </w:t>
      </w:r>
      <w:r>
        <w:t>are 'unplanned staff absences' and 'vacancies' alongside increasing demand (HSCB Board Meeting Performance</w:t>
      </w:r>
      <w:r w:rsidRPr="007119E1">
        <w:t xml:space="preserve"> </w:t>
      </w:r>
      <w:r>
        <w:t>Report</w:t>
      </w:r>
      <w:r w:rsidR="00847321">
        <w:t xml:space="preserve"> </w:t>
      </w:r>
      <w:r>
        <w:t xml:space="preserve">- April 2019, p16). These issues will not have been alleviated due to the pressure placed on staff and services due to </w:t>
      </w:r>
      <w:proofErr w:type="spellStart"/>
      <w:r>
        <w:t>covid</w:t>
      </w:r>
      <w:proofErr w:type="spellEnd"/>
      <w:r>
        <w:t xml:space="preserve">. However, it is of critical </w:t>
      </w:r>
      <w:r>
        <w:lastRenderedPageBreak/>
        <w:t xml:space="preserve">importance that these issues which form part of the reason for waiting list problems are addressed. </w:t>
      </w:r>
      <w:r w:rsidR="0019693B">
        <w:t xml:space="preserve">The delivery of the following </w:t>
      </w:r>
      <w:r w:rsidR="000373F4">
        <w:t>over</w:t>
      </w:r>
      <w:r w:rsidR="00530E51">
        <w:t xml:space="preserve">arching </w:t>
      </w:r>
      <w:r w:rsidR="0019693B">
        <w:t>key target in the SWAP is also required</w:t>
      </w:r>
      <w:r w:rsidR="00847321">
        <w:t xml:space="preserve"> i.e.</w:t>
      </w:r>
      <w:r w:rsidR="0019693B">
        <w:t xml:space="preserve"> ‘</w:t>
      </w:r>
      <w:r w:rsidR="0019693B" w:rsidRPr="0019693B">
        <w:t xml:space="preserve">Fully implement </w:t>
      </w:r>
      <w:r w:rsidR="00847321">
        <w:t xml:space="preserve">the </w:t>
      </w:r>
      <w:r w:rsidR="0019693B" w:rsidRPr="0019693B">
        <w:t xml:space="preserve">CAMHS care pathway across NI, including </w:t>
      </w:r>
      <w:r w:rsidR="00847321">
        <w:t xml:space="preserve">a </w:t>
      </w:r>
      <w:r w:rsidR="0019693B" w:rsidRPr="0019693B">
        <w:t>gap analysis and where additional resources should be deployed’.</w:t>
      </w:r>
    </w:p>
    <w:p w14:paraId="2FE21A47" w14:textId="77777777" w:rsidR="0093423B" w:rsidRDefault="0093423B" w:rsidP="0093423B">
      <w:pPr>
        <w:pStyle w:val="NICCYBodyText"/>
      </w:pPr>
    </w:p>
    <w:p w14:paraId="1016D2DD" w14:textId="77777777" w:rsidR="0093423B" w:rsidRPr="002E6751" w:rsidRDefault="00B07F4F" w:rsidP="0093423B">
      <w:pPr>
        <w:pStyle w:val="NICCYBodyText"/>
        <w:rPr>
          <w:b/>
        </w:rPr>
      </w:pPr>
      <w:r>
        <w:rPr>
          <w:b/>
        </w:rPr>
        <w:t>No improvement in rates of n</w:t>
      </w:r>
      <w:r w:rsidR="000B7EA3">
        <w:rPr>
          <w:b/>
        </w:rPr>
        <w:t>on-a</w:t>
      </w:r>
      <w:r w:rsidR="0093423B" w:rsidRPr="002E6751">
        <w:rPr>
          <w:b/>
        </w:rPr>
        <w:t>ttendance at appointments</w:t>
      </w:r>
    </w:p>
    <w:p w14:paraId="56A41D2F" w14:textId="77777777" w:rsidR="0093423B" w:rsidRDefault="0075519F" w:rsidP="00465457">
      <w:pPr>
        <w:pStyle w:val="NICCYBodyText"/>
      </w:pPr>
      <w:r>
        <w:t xml:space="preserve">Data </w:t>
      </w:r>
      <w:r w:rsidR="00806DA3">
        <w:t xml:space="preserve">up to 2019 /20 </w:t>
      </w:r>
      <w:r>
        <w:t>shows a</w:t>
      </w:r>
      <w:r w:rsidR="0093423B">
        <w:t xml:space="preserve"> con</w:t>
      </w:r>
      <w:r>
        <w:t xml:space="preserve">tinual </w:t>
      </w:r>
      <w:r w:rsidR="00465457">
        <w:t>trend in which approximately 15</w:t>
      </w:r>
      <w:r w:rsidR="0099401C">
        <w:t>-</w:t>
      </w:r>
      <w:r>
        <w:t xml:space="preserve"> </w:t>
      </w:r>
      <w:r w:rsidR="00465457">
        <w:t xml:space="preserve">20% of </w:t>
      </w:r>
      <w:r w:rsidR="00806DA3">
        <w:t xml:space="preserve">first or review </w:t>
      </w:r>
      <w:r w:rsidR="00465457">
        <w:t>appointments are not attended.</w:t>
      </w:r>
      <w:r w:rsidR="0093423B">
        <w:t xml:space="preserve"> NICCY’s rev</w:t>
      </w:r>
      <w:r w:rsidR="00806DA3">
        <w:t>iew recommended that the CAMHS d</w:t>
      </w:r>
      <w:r w:rsidR="0093423B">
        <w:t xml:space="preserve">ataset be augmented to record, monitor and urgently address reasons for </w:t>
      </w:r>
      <w:r w:rsidR="00465457">
        <w:t>non-attendance</w:t>
      </w:r>
      <w:r w:rsidR="0093423B">
        <w:t xml:space="preserve">; </w:t>
      </w:r>
      <w:r w:rsidR="00D7661C">
        <w:t>record the number</w:t>
      </w:r>
      <w:r w:rsidR="0093423B">
        <w:t xml:space="preserve"> of young people discharged from CAMHS due to </w:t>
      </w:r>
      <w:r w:rsidR="00465457">
        <w:t>non-attendance</w:t>
      </w:r>
      <w:r w:rsidR="0093423B">
        <w:t xml:space="preserve"> and monitor</w:t>
      </w:r>
      <w:r w:rsidR="00465457">
        <w:t xml:space="preserve"> compliance with IEAP guidance </w:t>
      </w:r>
      <w:r w:rsidR="0093423B">
        <w:t>(47 f-g).</w:t>
      </w:r>
      <w:r w:rsidR="00806DA3">
        <w:t xml:space="preserve"> This is an area in which data may start to show improvements if the greater flexibility around appointments (time and</w:t>
      </w:r>
      <w:r w:rsidR="00FB2ADD">
        <w:t xml:space="preserve"> place) provided during </w:t>
      </w:r>
      <w:proofErr w:type="spellStart"/>
      <w:r w:rsidR="00FB2ADD">
        <w:t>covid</w:t>
      </w:r>
      <w:proofErr w:type="spellEnd"/>
      <w:r w:rsidR="00FB2ADD">
        <w:t xml:space="preserve"> are</w:t>
      </w:r>
      <w:r w:rsidR="00806DA3">
        <w:t xml:space="preserve"> maintained </w:t>
      </w:r>
      <w:r w:rsidR="00FB2ADD">
        <w:t>once normal services fully resume.</w:t>
      </w:r>
    </w:p>
    <w:p w14:paraId="7100770D" w14:textId="77777777" w:rsidR="0093423B" w:rsidRDefault="0093423B" w:rsidP="0093423B">
      <w:pPr>
        <w:pStyle w:val="NICCYBodyText"/>
      </w:pPr>
    </w:p>
    <w:p w14:paraId="39E42BE7" w14:textId="1283A618" w:rsidR="0093423B" w:rsidRPr="008F2937" w:rsidRDefault="000B7EA3" w:rsidP="0093423B">
      <w:pPr>
        <w:pStyle w:val="NICCYBodyText"/>
        <w:rPr>
          <w:b/>
        </w:rPr>
      </w:pPr>
      <w:r>
        <w:rPr>
          <w:b/>
        </w:rPr>
        <w:t xml:space="preserve">A&amp;E </w:t>
      </w:r>
      <w:r w:rsidR="00CF4279">
        <w:rPr>
          <w:b/>
        </w:rPr>
        <w:t xml:space="preserve">attendance </w:t>
      </w:r>
      <w:r w:rsidR="00B07F4F">
        <w:rPr>
          <w:b/>
        </w:rPr>
        <w:t xml:space="preserve">continues to be commonplace </w:t>
      </w:r>
      <w:r>
        <w:rPr>
          <w:b/>
        </w:rPr>
        <w:t xml:space="preserve">for </w:t>
      </w:r>
      <w:r w:rsidR="00B07F4F">
        <w:rPr>
          <w:b/>
        </w:rPr>
        <w:t>young people in mental health crisis</w:t>
      </w:r>
    </w:p>
    <w:p w14:paraId="01751244" w14:textId="5F87A415" w:rsidR="0093423B" w:rsidRDefault="0093423B" w:rsidP="0093423B">
      <w:pPr>
        <w:pStyle w:val="NICCYBodyText"/>
      </w:pPr>
      <w:r>
        <w:t xml:space="preserve">Data shows that A&amp;E continues to be the most common place for young people to go whilst in a mental health emergency. In fact, data is showing that referrals to CAMHS from A&amp;E </w:t>
      </w:r>
      <w:r w:rsidR="00CF4279">
        <w:t>increased significantly</w:t>
      </w:r>
      <w:r>
        <w:t xml:space="preserve"> between </w:t>
      </w:r>
      <w:r w:rsidR="00806DA3">
        <w:t xml:space="preserve">2018/19 </w:t>
      </w:r>
      <w:r>
        <w:t xml:space="preserve">and </w:t>
      </w:r>
      <w:r w:rsidR="00806DA3">
        <w:t xml:space="preserve">2019/20 </w:t>
      </w:r>
      <w:r>
        <w:t xml:space="preserve">from 27% to 42%. Unfortunately, we do not know how many young people present to A&amp;E with mental </w:t>
      </w:r>
      <w:r w:rsidR="0099401C">
        <w:t xml:space="preserve">ill </w:t>
      </w:r>
      <w:r>
        <w:t>health as a presenting issue</w:t>
      </w:r>
      <w:r w:rsidR="005B78ED">
        <w:t>,</w:t>
      </w:r>
      <w:r>
        <w:t xml:space="preserve"> as </w:t>
      </w:r>
      <w:r w:rsidR="0099401C">
        <w:t xml:space="preserve">the system is not able to provide </w:t>
      </w:r>
      <w:r w:rsidR="0059508C">
        <w:t>this data</w:t>
      </w:r>
      <w:r w:rsidR="00806DA3">
        <w:t>.</w:t>
      </w:r>
    </w:p>
    <w:p w14:paraId="034A69E9" w14:textId="77777777" w:rsidR="00444C46" w:rsidRDefault="00444C46" w:rsidP="0093423B">
      <w:pPr>
        <w:pStyle w:val="NICCYBodyTest"/>
      </w:pPr>
    </w:p>
    <w:p w14:paraId="58CDD3C1" w14:textId="77777777" w:rsidR="0093423B" w:rsidRDefault="0093423B" w:rsidP="0093423B">
      <w:pPr>
        <w:pStyle w:val="NICCYBodyTest"/>
      </w:pPr>
      <w:r>
        <w:t>In Still Waiting, NICCY made a number of recommendations regarding crisis support for children and young people (Rec</w:t>
      </w:r>
      <w:r w:rsidR="0099401C">
        <w:t>s</w:t>
      </w:r>
      <w:r>
        <w:t xml:space="preserve"> 21-25).</w:t>
      </w:r>
      <w:r w:rsidR="00C96DAE">
        <w:t xml:space="preserve"> We welcome the fact that crisis care is a focus of the Mental Health S</w:t>
      </w:r>
      <w:r w:rsidR="00AB436C">
        <w:t>trategy but we are disappointed that greater progress has not been made on relevant action</w:t>
      </w:r>
      <w:r w:rsidR="005B78ED">
        <w:t>s</w:t>
      </w:r>
      <w:r w:rsidR="00AB436C">
        <w:t xml:space="preserve"> from the SWAP</w:t>
      </w:r>
      <w:r w:rsidR="00923CF2">
        <w:t xml:space="preserve">, namely </w:t>
      </w:r>
      <w:r w:rsidR="005B78ED">
        <w:t xml:space="preserve">the </w:t>
      </w:r>
      <w:r w:rsidR="00923CF2">
        <w:t>review of CAIT / MH liaison service and embedding minimum standards in A&amp;E departments. These statistics indicate a need for action to be taken</w:t>
      </w:r>
      <w:r w:rsidR="00923CF2" w:rsidRPr="00923CF2">
        <w:t xml:space="preserve"> </w:t>
      </w:r>
      <w:r w:rsidR="00923CF2">
        <w:t>urgently.</w:t>
      </w:r>
    </w:p>
    <w:p w14:paraId="6B417CB8" w14:textId="77777777" w:rsidR="0093423B" w:rsidRDefault="0093423B" w:rsidP="0093423B">
      <w:pPr>
        <w:pStyle w:val="NICCYBodyText"/>
      </w:pPr>
    </w:p>
    <w:p w14:paraId="4A5A9C20" w14:textId="77777777" w:rsidR="0093423B" w:rsidRPr="00807BE0" w:rsidRDefault="0093423B" w:rsidP="0093423B">
      <w:pPr>
        <w:pStyle w:val="NICCYBodyText"/>
        <w:rPr>
          <w:b/>
        </w:rPr>
      </w:pPr>
      <w:r w:rsidRPr="00807BE0">
        <w:rPr>
          <w:b/>
        </w:rPr>
        <w:t xml:space="preserve">CYP discharged from CAMHS without </w:t>
      </w:r>
      <w:r>
        <w:rPr>
          <w:b/>
        </w:rPr>
        <w:t>g</w:t>
      </w:r>
      <w:r w:rsidRPr="00807BE0">
        <w:rPr>
          <w:b/>
        </w:rPr>
        <w:t xml:space="preserve">oal being achieved </w:t>
      </w:r>
    </w:p>
    <w:p w14:paraId="11244614" w14:textId="71B4A20D" w:rsidR="00E03550" w:rsidRPr="00EF0949" w:rsidRDefault="00A933DA" w:rsidP="00E03550">
      <w:pPr>
        <w:pStyle w:val="NICCYSubline"/>
        <w:rPr>
          <w:b w:val="0"/>
          <w:color w:val="414042"/>
        </w:rPr>
      </w:pPr>
      <w:r w:rsidRPr="00EF0949">
        <w:rPr>
          <w:b w:val="0"/>
          <w:color w:val="414042"/>
        </w:rPr>
        <w:t xml:space="preserve">Data shows that approximately 40% of </w:t>
      </w:r>
      <w:r w:rsidR="0093423B" w:rsidRPr="00EF0949">
        <w:rPr>
          <w:b w:val="0"/>
          <w:color w:val="414042"/>
        </w:rPr>
        <w:t xml:space="preserve">CYP discharged from CAMHS do so without </w:t>
      </w:r>
      <w:r w:rsidRPr="00EF0949">
        <w:rPr>
          <w:b w:val="0"/>
          <w:color w:val="414042"/>
        </w:rPr>
        <w:t xml:space="preserve">their </w:t>
      </w:r>
      <w:r w:rsidR="0093423B" w:rsidRPr="00EF0949">
        <w:rPr>
          <w:b w:val="0"/>
          <w:color w:val="414042"/>
        </w:rPr>
        <w:t>goals being achieved</w:t>
      </w:r>
      <w:r w:rsidRPr="00EF0949">
        <w:rPr>
          <w:b w:val="0"/>
          <w:color w:val="414042"/>
        </w:rPr>
        <w:t>.</w:t>
      </w:r>
      <w:r w:rsidR="00E03550" w:rsidRPr="00EF0949">
        <w:rPr>
          <w:b w:val="0"/>
          <w:color w:val="414042"/>
        </w:rPr>
        <w:t xml:space="preserve"> In Still Waiting, NICCY highlighted the fact that a significant proportion of young people did</w:t>
      </w:r>
      <w:r w:rsidR="00E03550" w:rsidRPr="00E03550">
        <w:rPr>
          <w:b w:val="0"/>
          <w:color w:val="414042"/>
        </w:rPr>
        <w:t xml:space="preserve"> not find the support they received helpful</w:t>
      </w:r>
      <w:r w:rsidR="0059508C">
        <w:rPr>
          <w:b w:val="0"/>
          <w:color w:val="414042"/>
        </w:rPr>
        <w:t xml:space="preserve">. </w:t>
      </w:r>
      <w:r w:rsidR="0099401C">
        <w:rPr>
          <w:b w:val="0"/>
          <w:color w:val="414042"/>
        </w:rPr>
        <w:t>A</w:t>
      </w:r>
      <w:r w:rsidR="00E03550" w:rsidRPr="00E03550">
        <w:rPr>
          <w:b w:val="0"/>
          <w:color w:val="414042"/>
        </w:rPr>
        <w:t>lthough the intention is not to conflate these two measures, they both point to the need for further analysis of the effectiveness of treatment and service models and what changes might usefully be made.</w:t>
      </w:r>
      <w:r w:rsidR="00EF0949">
        <w:rPr>
          <w:b w:val="0"/>
          <w:color w:val="414042"/>
        </w:rPr>
        <w:t xml:space="preserve"> </w:t>
      </w:r>
      <w:r w:rsidR="004E7D28">
        <w:rPr>
          <w:b w:val="0"/>
          <w:color w:val="414042"/>
        </w:rPr>
        <w:t xml:space="preserve">Better analysis requires improvements in the quality of data being </w:t>
      </w:r>
      <w:r w:rsidR="004E7D28">
        <w:rPr>
          <w:b w:val="0"/>
          <w:color w:val="414042"/>
        </w:rPr>
        <w:lastRenderedPageBreak/>
        <w:t xml:space="preserve">collected and this must include ‘outcome’ data. </w:t>
      </w:r>
      <w:r w:rsidR="00EF0949">
        <w:rPr>
          <w:b w:val="0"/>
          <w:color w:val="414042"/>
        </w:rPr>
        <w:t>Very little tangible progress has been made in relevant thematic areas in the SWAP, namely</w:t>
      </w:r>
      <w:r w:rsidR="00EF0949" w:rsidRPr="00EF0949">
        <w:rPr>
          <w:color w:val="414042"/>
        </w:rPr>
        <w:t xml:space="preserve"> </w:t>
      </w:r>
      <w:r w:rsidR="00EF0949">
        <w:rPr>
          <w:color w:val="414042"/>
        </w:rPr>
        <w:t>‘</w:t>
      </w:r>
      <w:r w:rsidR="00EF0949" w:rsidRPr="00EF0949">
        <w:rPr>
          <w:b w:val="0"/>
          <w:color w:val="414042"/>
        </w:rPr>
        <w:t>Specialist Support</w:t>
      </w:r>
      <w:r w:rsidR="00EF0949">
        <w:rPr>
          <w:b w:val="0"/>
          <w:color w:val="414042"/>
        </w:rPr>
        <w:t>’</w:t>
      </w:r>
      <w:r w:rsidR="00EF0949" w:rsidRPr="00EF0949">
        <w:rPr>
          <w:b w:val="0"/>
          <w:color w:val="414042"/>
        </w:rPr>
        <w:t xml:space="preserve"> and </w:t>
      </w:r>
      <w:r w:rsidR="00EF0949">
        <w:rPr>
          <w:b w:val="0"/>
          <w:color w:val="414042"/>
        </w:rPr>
        <w:t>‘</w:t>
      </w:r>
      <w:r w:rsidR="00EF0949" w:rsidRPr="00EF0949">
        <w:rPr>
          <w:b w:val="0"/>
          <w:color w:val="414042"/>
        </w:rPr>
        <w:t>Flexible Treatment Options</w:t>
      </w:r>
      <w:r w:rsidR="00EF0949">
        <w:rPr>
          <w:b w:val="0"/>
          <w:color w:val="414042"/>
        </w:rPr>
        <w:t xml:space="preserve">’. </w:t>
      </w:r>
      <w:r w:rsidR="005B78ED">
        <w:rPr>
          <w:b w:val="0"/>
          <w:color w:val="414042"/>
        </w:rPr>
        <w:t>However, w</w:t>
      </w:r>
      <w:r w:rsidR="007A73EC">
        <w:rPr>
          <w:b w:val="0"/>
          <w:color w:val="414042"/>
        </w:rPr>
        <w:t>e remain hopeful that some of the proposals identified for this year will be advanced.</w:t>
      </w:r>
    </w:p>
    <w:p w14:paraId="37A12790" w14:textId="77777777" w:rsidR="0093423B" w:rsidRDefault="0093423B" w:rsidP="0093423B">
      <w:pPr>
        <w:pStyle w:val="NICCYBodyText"/>
      </w:pPr>
    </w:p>
    <w:p w14:paraId="3C777EED" w14:textId="77777777" w:rsidR="0093423B" w:rsidRDefault="000B7EA3" w:rsidP="0093423B">
      <w:pPr>
        <w:pStyle w:val="NICCYBodyText"/>
        <w:rPr>
          <w:b/>
        </w:rPr>
      </w:pPr>
      <w:r>
        <w:rPr>
          <w:b/>
        </w:rPr>
        <w:t>Anti-depressant p</w:t>
      </w:r>
      <w:r w:rsidR="0093423B" w:rsidRPr="00915950">
        <w:rPr>
          <w:b/>
        </w:rPr>
        <w:t>rescribing</w:t>
      </w:r>
      <w:r w:rsidR="00FF14F1">
        <w:rPr>
          <w:b/>
        </w:rPr>
        <w:t xml:space="preserve"> remains concerning</w:t>
      </w:r>
    </w:p>
    <w:p w14:paraId="4F4D2C1A" w14:textId="64FC4334" w:rsidR="0093423B" w:rsidRDefault="0093423B" w:rsidP="0093423B">
      <w:pPr>
        <w:pStyle w:val="NICCYBodyText"/>
      </w:pPr>
      <w:r w:rsidRPr="0073456D">
        <w:t xml:space="preserve">Over the reporting period, the number of </w:t>
      </w:r>
      <w:r w:rsidR="00EE1F8F">
        <w:t>under 18s</w:t>
      </w:r>
      <w:r>
        <w:t xml:space="preserve"> and </w:t>
      </w:r>
      <w:r w:rsidRPr="0073456D">
        <w:t xml:space="preserve">under 12s </w:t>
      </w:r>
      <w:r>
        <w:t>receiv</w:t>
      </w:r>
      <w:r w:rsidRPr="0073456D">
        <w:t>ing prescription</w:t>
      </w:r>
      <w:r>
        <w:t>s</w:t>
      </w:r>
      <w:r w:rsidRPr="0073456D">
        <w:t xml:space="preserve"> has </w:t>
      </w:r>
      <w:r>
        <w:t>gone down</w:t>
      </w:r>
      <w:r w:rsidRPr="0073456D">
        <w:t xml:space="preserve"> but the number of prescriptions </w:t>
      </w:r>
      <w:r w:rsidR="001B3CA7">
        <w:t>administered</w:t>
      </w:r>
      <w:r w:rsidRPr="0073456D">
        <w:t xml:space="preserve"> </w:t>
      </w:r>
      <w:r w:rsidR="001B3CA7">
        <w:t xml:space="preserve">has </w:t>
      </w:r>
      <w:r w:rsidRPr="0073456D">
        <w:t xml:space="preserve">increased quite considerably. </w:t>
      </w:r>
      <w:r>
        <w:t xml:space="preserve">Although changes in scanning processes may account for part of the increase in </w:t>
      </w:r>
      <w:r w:rsidR="0099401C">
        <w:t xml:space="preserve">the </w:t>
      </w:r>
      <w:r>
        <w:t>number of prescriptions administered, this remains a significant cause for concern which is amplified as some of the same drugs, which have not been recommended by NICE for use with children</w:t>
      </w:r>
      <w:r w:rsidR="0099401C">
        <w:t>,</w:t>
      </w:r>
      <w:r>
        <w:t xml:space="preserve"> are still listed as being prescribed. </w:t>
      </w:r>
      <w:r w:rsidR="00396D5E" w:rsidRPr="00396D5E">
        <w:t>NICCY welcomes the work to monitor prescribing data and ensure medication for mental health to children and young people is appropriate.</w:t>
      </w:r>
      <w:r w:rsidR="00396D5E">
        <w:t xml:space="preserve"> Clear timeframes for output and action are required.</w:t>
      </w:r>
    </w:p>
    <w:p w14:paraId="5EA1D1C3" w14:textId="77777777" w:rsidR="0093423B" w:rsidRDefault="0093423B" w:rsidP="00395A92">
      <w:pPr>
        <w:pStyle w:val="NICCYSubTitle"/>
      </w:pPr>
    </w:p>
    <w:p w14:paraId="00F90A66" w14:textId="48EFEDFA" w:rsidR="0093423B" w:rsidRDefault="00FF14F1" w:rsidP="00395A92">
      <w:pPr>
        <w:pStyle w:val="NICCYSubTitle"/>
        <w:rPr>
          <w:color w:val="414042"/>
        </w:rPr>
      </w:pPr>
      <w:r>
        <w:rPr>
          <w:color w:val="414042"/>
        </w:rPr>
        <w:t>Low a</w:t>
      </w:r>
      <w:r w:rsidR="007B49F0">
        <w:rPr>
          <w:color w:val="414042"/>
        </w:rPr>
        <w:t>dmission of under 18s to adult w</w:t>
      </w:r>
      <w:r w:rsidR="004B2276" w:rsidRPr="004B2276">
        <w:rPr>
          <w:color w:val="414042"/>
        </w:rPr>
        <w:t>ards</w:t>
      </w:r>
      <w:r>
        <w:rPr>
          <w:color w:val="414042"/>
        </w:rPr>
        <w:t xml:space="preserve"> being sustained</w:t>
      </w:r>
      <w:r w:rsidR="004B2276" w:rsidRPr="004B2276">
        <w:rPr>
          <w:color w:val="414042"/>
        </w:rPr>
        <w:t xml:space="preserve"> </w:t>
      </w:r>
    </w:p>
    <w:p w14:paraId="6D109563" w14:textId="71AEB0C3" w:rsidR="004B2276" w:rsidRPr="004B2276" w:rsidRDefault="004B2276" w:rsidP="00395A92">
      <w:pPr>
        <w:pStyle w:val="NICCYSubTitle"/>
        <w:rPr>
          <w:b w:val="0"/>
          <w:color w:val="414042"/>
        </w:rPr>
      </w:pPr>
      <w:r w:rsidRPr="004B2276">
        <w:rPr>
          <w:b w:val="0"/>
          <w:color w:val="414042"/>
        </w:rPr>
        <w:t xml:space="preserve">NICCY welcomes the fact that admission of under 18s to adult mental health wards has </w:t>
      </w:r>
      <w:r>
        <w:rPr>
          <w:b w:val="0"/>
          <w:color w:val="414042"/>
        </w:rPr>
        <w:t xml:space="preserve">not increased above </w:t>
      </w:r>
      <w:r w:rsidR="00CF4279">
        <w:rPr>
          <w:b w:val="0"/>
          <w:color w:val="414042"/>
        </w:rPr>
        <w:t>six</w:t>
      </w:r>
      <w:r>
        <w:rPr>
          <w:b w:val="0"/>
          <w:color w:val="414042"/>
        </w:rPr>
        <w:t xml:space="preserve"> since 2015/16</w:t>
      </w:r>
      <w:r w:rsidRPr="004B2276">
        <w:rPr>
          <w:b w:val="0"/>
          <w:color w:val="414042"/>
        </w:rPr>
        <w:t>.</w:t>
      </w:r>
      <w:r w:rsidR="00BE3874">
        <w:rPr>
          <w:b w:val="0"/>
          <w:color w:val="414042"/>
        </w:rPr>
        <w:t xml:space="preserve"> The UNCRC is unequivocal in its view that under 18s should only ever be treated in age and developmentally appropriate settings. This </w:t>
      </w:r>
      <w:r w:rsidR="0099401C">
        <w:rPr>
          <w:b w:val="0"/>
          <w:color w:val="414042"/>
        </w:rPr>
        <w:t xml:space="preserve">approach </w:t>
      </w:r>
      <w:r w:rsidR="00BE3874">
        <w:rPr>
          <w:b w:val="0"/>
          <w:color w:val="414042"/>
        </w:rPr>
        <w:t xml:space="preserve">should be </w:t>
      </w:r>
      <w:r w:rsidR="0099401C">
        <w:rPr>
          <w:b w:val="0"/>
          <w:color w:val="414042"/>
        </w:rPr>
        <w:t xml:space="preserve">implemented </w:t>
      </w:r>
      <w:r w:rsidR="00BE3874">
        <w:rPr>
          <w:b w:val="0"/>
          <w:color w:val="414042"/>
        </w:rPr>
        <w:t>as matter of urgency</w:t>
      </w:r>
      <w:r w:rsidR="0099401C">
        <w:rPr>
          <w:b w:val="0"/>
          <w:color w:val="414042"/>
        </w:rPr>
        <w:t>.</w:t>
      </w:r>
      <w:r w:rsidR="00BE3874">
        <w:rPr>
          <w:b w:val="0"/>
          <w:color w:val="414042"/>
        </w:rPr>
        <w:t xml:space="preserve"> </w:t>
      </w:r>
      <w:r w:rsidR="0099401C">
        <w:rPr>
          <w:b w:val="0"/>
          <w:color w:val="414042"/>
        </w:rPr>
        <w:t xml:space="preserve"> A</w:t>
      </w:r>
      <w:r w:rsidR="00BE3874">
        <w:rPr>
          <w:b w:val="0"/>
          <w:color w:val="414042"/>
        </w:rPr>
        <w:t>s an interim measure clear regional protocols and regulation should be established for those under 18s admitted to adult wards.</w:t>
      </w:r>
      <w:r w:rsidR="006A5B4D">
        <w:rPr>
          <w:b w:val="0"/>
          <w:color w:val="414042"/>
        </w:rPr>
        <w:t xml:space="preserve"> </w:t>
      </w:r>
    </w:p>
    <w:p w14:paraId="303FE8DC" w14:textId="77777777" w:rsidR="004B2276" w:rsidRDefault="004B2276" w:rsidP="00395A92">
      <w:pPr>
        <w:pStyle w:val="NICCYSubTitle"/>
      </w:pPr>
    </w:p>
    <w:p w14:paraId="1ED50289" w14:textId="77777777" w:rsidR="00395A92" w:rsidRPr="0093423B" w:rsidRDefault="00395A92" w:rsidP="00395A92">
      <w:pPr>
        <w:pStyle w:val="NICCYSubTitle"/>
        <w:rPr>
          <w:sz w:val="28"/>
          <w:szCs w:val="28"/>
        </w:rPr>
      </w:pPr>
      <w:r w:rsidRPr="0093423B">
        <w:rPr>
          <w:sz w:val="28"/>
          <w:szCs w:val="28"/>
        </w:rPr>
        <w:t xml:space="preserve">Monitoring of Still Waiting Recommendations </w:t>
      </w:r>
    </w:p>
    <w:p w14:paraId="6CCF079A" w14:textId="77777777" w:rsidR="00700B4E" w:rsidRPr="00FE11EC" w:rsidRDefault="00FE11EC" w:rsidP="00700B4E">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 xml:space="preserve">In the 2020 </w:t>
      </w:r>
      <w:r w:rsidR="00A87D1B">
        <w:rPr>
          <w:rFonts w:ascii="Arial" w:eastAsiaTheme="minorEastAsia" w:hAnsi="Arial" w:cs="Arial"/>
          <w:color w:val="414042"/>
          <w:sz w:val="24"/>
          <w:szCs w:val="24"/>
        </w:rPr>
        <w:t xml:space="preserve">monitoring </w:t>
      </w:r>
      <w:r>
        <w:rPr>
          <w:rFonts w:ascii="Arial" w:eastAsiaTheme="minorEastAsia" w:hAnsi="Arial" w:cs="Arial"/>
          <w:color w:val="414042"/>
          <w:sz w:val="24"/>
          <w:szCs w:val="24"/>
        </w:rPr>
        <w:t xml:space="preserve">report, NICCY recommended that </w:t>
      </w:r>
      <w:r w:rsidR="00F15D92">
        <w:rPr>
          <w:rFonts w:ascii="Arial" w:eastAsiaTheme="minorEastAsia" w:hAnsi="Arial" w:cs="Arial"/>
          <w:color w:val="414042"/>
          <w:sz w:val="24"/>
          <w:szCs w:val="24"/>
        </w:rPr>
        <w:t xml:space="preserve">a number of the actions needed to be more clearly defined, </w:t>
      </w:r>
      <w:r w:rsidR="00C54054">
        <w:rPr>
          <w:rFonts w:ascii="Arial" w:eastAsiaTheme="minorEastAsia" w:hAnsi="Arial" w:cs="Arial"/>
          <w:color w:val="414042"/>
          <w:sz w:val="24"/>
          <w:szCs w:val="24"/>
        </w:rPr>
        <w:t>particularly</w:t>
      </w:r>
      <w:r w:rsidR="00F15D92">
        <w:rPr>
          <w:rFonts w:ascii="Arial" w:eastAsiaTheme="minorEastAsia" w:hAnsi="Arial" w:cs="Arial"/>
          <w:color w:val="414042"/>
          <w:sz w:val="24"/>
          <w:szCs w:val="24"/>
        </w:rPr>
        <w:t xml:space="preserve"> with respect to </w:t>
      </w:r>
      <w:r w:rsidR="00700B4E">
        <w:rPr>
          <w:rFonts w:ascii="Arial" w:eastAsiaTheme="minorEastAsia" w:hAnsi="Arial" w:cs="Arial"/>
          <w:color w:val="414042"/>
          <w:sz w:val="24"/>
          <w:szCs w:val="24"/>
        </w:rPr>
        <w:t>timelines and next steps</w:t>
      </w:r>
      <w:r>
        <w:rPr>
          <w:rFonts w:ascii="Arial" w:eastAsiaTheme="minorEastAsia" w:hAnsi="Arial" w:cs="Arial"/>
          <w:color w:val="414042"/>
          <w:sz w:val="24"/>
          <w:szCs w:val="24"/>
        </w:rPr>
        <w:t xml:space="preserve">. A substantial number of actions </w:t>
      </w:r>
      <w:r w:rsidR="00D50736">
        <w:rPr>
          <w:rFonts w:ascii="Arial" w:eastAsiaTheme="minorEastAsia" w:hAnsi="Arial" w:cs="Arial"/>
          <w:color w:val="414042"/>
          <w:sz w:val="24"/>
          <w:szCs w:val="24"/>
        </w:rPr>
        <w:t xml:space="preserve">also </w:t>
      </w:r>
      <w:r>
        <w:rPr>
          <w:rFonts w:ascii="Arial" w:eastAsiaTheme="minorEastAsia" w:hAnsi="Arial" w:cs="Arial"/>
          <w:color w:val="414042"/>
          <w:sz w:val="24"/>
          <w:szCs w:val="24"/>
        </w:rPr>
        <w:t>refer</w:t>
      </w:r>
      <w:r w:rsidR="00D50736">
        <w:rPr>
          <w:rFonts w:ascii="Arial" w:eastAsiaTheme="minorEastAsia" w:hAnsi="Arial" w:cs="Arial"/>
          <w:color w:val="414042"/>
          <w:sz w:val="24"/>
          <w:szCs w:val="24"/>
        </w:rPr>
        <w:t>red</w:t>
      </w:r>
      <w:r w:rsidR="00700B4E">
        <w:rPr>
          <w:rFonts w:ascii="Arial" w:eastAsiaTheme="minorEastAsia" w:hAnsi="Arial" w:cs="Arial"/>
          <w:color w:val="414042"/>
          <w:sz w:val="24"/>
          <w:szCs w:val="24"/>
        </w:rPr>
        <w:t xml:space="preserve"> to the need to </w:t>
      </w:r>
      <w:r w:rsidR="00700B4E" w:rsidRPr="00FE11EC">
        <w:rPr>
          <w:rFonts w:ascii="Arial" w:eastAsiaTheme="minorEastAsia" w:hAnsi="Arial" w:cs="Arial"/>
          <w:color w:val="414042"/>
          <w:sz w:val="24"/>
          <w:szCs w:val="24"/>
        </w:rPr>
        <w:t>secure funding and</w:t>
      </w:r>
      <w:r>
        <w:rPr>
          <w:rFonts w:ascii="Arial" w:eastAsiaTheme="minorEastAsia" w:hAnsi="Arial" w:cs="Arial"/>
          <w:color w:val="414042"/>
          <w:sz w:val="24"/>
          <w:szCs w:val="24"/>
        </w:rPr>
        <w:t xml:space="preserve"> </w:t>
      </w:r>
      <w:r w:rsidR="00700B4E" w:rsidRPr="00FE11EC">
        <w:rPr>
          <w:rFonts w:ascii="Arial" w:eastAsiaTheme="minorEastAsia" w:hAnsi="Arial" w:cs="Arial"/>
          <w:color w:val="414042"/>
          <w:sz w:val="24"/>
          <w:szCs w:val="24"/>
        </w:rPr>
        <w:t>/</w:t>
      </w:r>
      <w:r>
        <w:rPr>
          <w:rFonts w:ascii="Arial" w:eastAsiaTheme="minorEastAsia" w:hAnsi="Arial" w:cs="Arial"/>
          <w:color w:val="414042"/>
          <w:sz w:val="24"/>
          <w:szCs w:val="24"/>
        </w:rPr>
        <w:t xml:space="preserve"> </w:t>
      </w:r>
      <w:r w:rsidR="00700B4E" w:rsidRPr="00FE11EC">
        <w:rPr>
          <w:rFonts w:ascii="Arial" w:eastAsiaTheme="minorEastAsia" w:hAnsi="Arial" w:cs="Arial"/>
          <w:color w:val="414042"/>
          <w:sz w:val="24"/>
          <w:szCs w:val="24"/>
        </w:rPr>
        <w:t xml:space="preserve">or Ministerial approval before </w:t>
      </w:r>
      <w:r w:rsidR="00D50736">
        <w:rPr>
          <w:rFonts w:ascii="Arial" w:eastAsiaTheme="minorEastAsia" w:hAnsi="Arial" w:cs="Arial"/>
          <w:color w:val="414042"/>
          <w:sz w:val="24"/>
          <w:szCs w:val="24"/>
        </w:rPr>
        <w:t>they could be progressed.</w:t>
      </w:r>
    </w:p>
    <w:p w14:paraId="5D6383DF" w14:textId="77777777" w:rsidR="00700B4E" w:rsidRPr="003549DA" w:rsidRDefault="00700B4E" w:rsidP="00700B4E">
      <w:pPr>
        <w:spacing w:line="276" w:lineRule="auto"/>
        <w:ind w:right="-433"/>
        <w:rPr>
          <w:rFonts w:ascii="Arial" w:eastAsiaTheme="minorEastAsia" w:hAnsi="Arial" w:cs="Arial"/>
          <w:color w:val="414042"/>
          <w:sz w:val="24"/>
          <w:szCs w:val="24"/>
        </w:rPr>
      </w:pPr>
    </w:p>
    <w:p w14:paraId="4DC6F5A0" w14:textId="3BB354D3" w:rsidR="00700B4E" w:rsidRPr="003549DA" w:rsidRDefault="00D50736" w:rsidP="00700B4E">
      <w:pPr>
        <w:pStyle w:val="NICCYBodyText"/>
      </w:pPr>
      <w:r w:rsidRPr="00D50736">
        <w:rPr>
          <w:b/>
        </w:rPr>
        <w:t xml:space="preserve">We </w:t>
      </w:r>
      <w:r>
        <w:rPr>
          <w:b/>
        </w:rPr>
        <w:t>reiterate our</w:t>
      </w:r>
      <w:r w:rsidRPr="00D50736">
        <w:rPr>
          <w:b/>
        </w:rPr>
        <w:t xml:space="preserve"> recommend</w:t>
      </w:r>
      <w:r>
        <w:rPr>
          <w:b/>
        </w:rPr>
        <w:t>ation</w:t>
      </w:r>
      <w:r w:rsidRPr="00D50736">
        <w:rPr>
          <w:b/>
        </w:rPr>
        <w:t xml:space="preserve"> that t</w:t>
      </w:r>
      <w:r w:rsidR="00700B4E" w:rsidRPr="00D50736">
        <w:rPr>
          <w:b/>
        </w:rPr>
        <w:t xml:space="preserve">he Action Plan </w:t>
      </w:r>
      <w:r w:rsidRPr="00D50736">
        <w:rPr>
          <w:b/>
        </w:rPr>
        <w:t>is reviewed to ensure that it</w:t>
      </w:r>
      <w:r w:rsidR="00700B4E" w:rsidRPr="00D50736">
        <w:rPr>
          <w:b/>
        </w:rPr>
        <w:t xml:space="preserve"> include</w:t>
      </w:r>
      <w:r w:rsidRPr="00D50736">
        <w:rPr>
          <w:b/>
        </w:rPr>
        <w:t>s</w:t>
      </w:r>
      <w:r w:rsidR="00700B4E" w:rsidRPr="00D50736">
        <w:rPr>
          <w:b/>
        </w:rPr>
        <w:t xml:space="preserve"> clear timeframes, targets, measurable indicators, effective monitoring mechanisms and sufficient human, technical and financial resource</w:t>
      </w:r>
      <w:r w:rsidR="00700B4E" w:rsidRPr="003549DA">
        <w:t>.</w:t>
      </w:r>
    </w:p>
    <w:p w14:paraId="64C9DF61" w14:textId="70BC4B10" w:rsidR="00700B4E" w:rsidRDefault="00700B4E" w:rsidP="006D5DF1">
      <w:pPr>
        <w:spacing w:line="276" w:lineRule="auto"/>
        <w:ind w:right="-433"/>
        <w:rPr>
          <w:rFonts w:ascii="Arial" w:eastAsiaTheme="minorEastAsia" w:hAnsi="Arial" w:cs="Arial"/>
          <w:color w:val="414042"/>
          <w:sz w:val="24"/>
          <w:szCs w:val="24"/>
        </w:rPr>
      </w:pPr>
    </w:p>
    <w:p w14:paraId="548314CC" w14:textId="138725D8" w:rsidR="0015081F" w:rsidRPr="0015081F" w:rsidRDefault="0015081F" w:rsidP="0015081F">
      <w:pPr>
        <w:pStyle w:val="NICCYBodyTest"/>
        <w:rPr>
          <w:b/>
        </w:rPr>
      </w:pPr>
      <w:r w:rsidRPr="0015081F">
        <w:rPr>
          <w:b/>
        </w:rPr>
        <w:t xml:space="preserve">Furthermore, we note that significant emphasis continues to be placed on the establishment of the Managed Care Network (MCN) to deliver on key actions from </w:t>
      </w:r>
      <w:r w:rsidRPr="0015081F">
        <w:rPr>
          <w:b/>
        </w:rPr>
        <w:lastRenderedPageBreak/>
        <w:t>the SWAP, namely greater joined up working and simplifying care pathways. It is imperative that this Network is established as a matter of urgency, along with a monitoring / evaluation process to track performance.</w:t>
      </w:r>
    </w:p>
    <w:p w14:paraId="02988E17" w14:textId="77777777" w:rsidR="00A003BC" w:rsidRDefault="00A003BC" w:rsidP="006D5DF1">
      <w:pPr>
        <w:spacing w:line="276" w:lineRule="auto"/>
        <w:ind w:right="-433"/>
        <w:rPr>
          <w:rFonts w:ascii="Arial" w:eastAsiaTheme="minorEastAsia" w:hAnsi="Arial" w:cs="Arial"/>
          <w:color w:val="414042"/>
          <w:sz w:val="24"/>
          <w:szCs w:val="24"/>
        </w:rPr>
      </w:pPr>
    </w:p>
    <w:p w14:paraId="2F8B676D" w14:textId="77777777" w:rsidR="00C54054" w:rsidRDefault="00C54054" w:rsidP="00C54054">
      <w:pPr>
        <w:pStyle w:val="NICCYSubTitle"/>
      </w:pPr>
      <w:r>
        <w:t>Outcome measures against Progress</w:t>
      </w:r>
    </w:p>
    <w:p w14:paraId="120B9C9D" w14:textId="18DE0493" w:rsidR="00C54054" w:rsidRPr="00C51872" w:rsidRDefault="00C54054" w:rsidP="00C54054">
      <w:pPr>
        <w:pStyle w:val="NICCYBodyText"/>
      </w:pPr>
      <w:r>
        <w:t xml:space="preserve">Data from the CAMHS Dataset are a useful marker of progress and </w:t>
      </w:r>
      <w:r w:rsidR="0093423B">
        <w:t>it is clear f</w:t>
      </w:r>
      <w:r>
        <w:t>r</w:t>
      </w:r>
      <w:r w:rsidR="0093423B">
        <w:t>o</w:t>
      </w:r>
      <w:r>
        <w:t>m reviewing the Still Waiting Action Plan that it would be strengthen</w:t>
      </w:r>
      <w:r w:rsidR="0093423B">
        <w:t>ed</w:t>
      </w:r>
      <w:r>
        <w:t xml:space="preserve"> by having SMART-</w:t>
      </w:r>
      <w:proofErr w:type="spellStart"/>
      <w:r>
        <w:t>er</w:t>
      </w:r>
      <w:proofErr w:type="spellEnd"/>
      <w:r>
        <w:t xml:space="preserve"> key performance </w:t>
      </w:r>
      <w:r w:rsidR="0099401C">
        <w:t xml:space="preserve">indicators </w:t>
      </w:r>
      <w:r>
        <w:t>against actions. These</w:t>
      </w:r>
      <w:r w:rsidRPr="00C51872">
        <w:t xml:space="preserve"> must </w:t>
      </w:r>
      <w:r>
        <w:t xml:space="preserve">include outcome measures </w:t>
      </w:r>
      <w:r w:rsidR="0099401C">
        <w:t xml:space="preserve">which </w:t>
      </w:r>
      <w:r>
        <w:t>can show improvements in</w:t>
      </w:r>
      <w:r w:rsidRPr="00C51872">
        <w:t xml:space="preserve"> health outcomes for children</w:t>
      </w:r>
      <w:r w:rsidR="0055267D">
        <w:t>,</w:t>
      </w:r>
      <w:r w:rsidRPr="00C51872">
        <w:t xml:space="preserve"> and greater levels of satisfaction with services and support </w:t>
      </w:r>
    </w:p>
    <w:p w14:paraId="6283E89B" w14:textId="77777777" w:rsidR="0093423B" w:rsidRDefault="0093423B" w:rsidP="0093423B">
      <w:pPr>
        <w:spacing w:line="276" w:lineRule="auto"/>
        <w:ind w:right="-433"/>
        <w:rPr>
          <w:rFonts w:ascii="Arial" w:eastAsiaTheme="minorEastAsia" w:hAnsi="Arial" w:cs="Arial"/>
          <w:b/>
          <w:color w:val="414042"/>
          <w:sz w:val="24"/>
          <w:szCs w:val="24"/>
        </w:rPr>
      </w:pPr>
    </w:p>
    <w:p w14:paraId="797F7DA3" w14:textId="1CC581C5" w:rsidR="0093423B" w:rsidRDefault="0093423B" w:rsidP="0093423B">
      <w:pPr>
        <w:spacing w:line="276" w:lineRule="auto"/>
        <w:ind w:right="-433"/>
        <w:rPr>
          <w:rFonts w:ascii="Arial" w:eastAsiaTheme="minorEastAsia" w:hAnsi="Arial" w:cs="Arial"/>
          <w:b/>
          <w:color w:val="414042"/>
          <w:sz w:val="24"/>
          <w:szCs w:val="24"/>
        </w:rPr>
      </w:pPr>
      <w:r>
        <w:rPr>
          <w:rFonts w:ascii="Arial" w:eastAsiaTheme="minorEastAsia" w:hAnsi="Arial" w:cs="Arial"/>
          <w:b/>
          <w:color w:val="414042"/>
          <w:sz w:val="24"/>
          <w:szCs w:val="24"/>
        </w:rPr>
        <w:t>NICCY</w:t>
      </w:r>
      <w:r w:rsidRPr="00C51872">
        <w:rPr>
          <w:rFonts w:ascii="Arial" w:eastAsiaTheme="minorEastAsia" w:hAnsi="Arial" w:cs="Arial"/>
          <w:b/>
          <w:color w:val="414042"/>
          <w:sz w:val="24"/>
          <w:szCs w:val="24"/>
        </w:rPr>
        <w:t xml:space="preserve"> will seek to reach agreement with the IDG on a set of </w:t>
      </w:r>
      <w:r>
        <w:rPr>
          <w:rFonts w:ascii="Arial" w:eastAsiaTheme="minorEastAsia" w:hAnsi="Arial" w:cs="Arial"/>
          <w:b/>
          <w:color w:val="414042"/>
          <w:sz w:val="24"/>
          <w:szCs w:val="24"/>
        </w:rPr>
        <w:t xml:space="preserve">shared </w:t>
      </w:r>
      <w:r w:rsidRPr="00C51872">
        <w:rPr>
          <w:rFonts w:ascii="Arial" w:eastAsiaTheme="minorEastAsia" w:hAnsi="Arial" w:cs="Arial"/>
          <w:b/>
          <w:color w:val="414042"/>
          <w:sz w:val="24"/>
          <w:szCs w:val="24"/>
        </w:rPr>
        <w:t>indicators by which we c</w:t>
      </w:r>
      <w:r w:rsidR="000B7EA3">
        <w:rPr>
          <w:rFonts w:ascii="Arial" w:eastAsiaTheme="minorEastAsia" w:hAnsi="Arial" w:cs="Arial"/>
          <w:b/>
          <w:color w:val="414042"/>
          <w:sz w:val="24"/>
          <w:szCs w:val="24"/>
        </w:rPr>
        <w:t>an measure the outcomes of the work to implement</w:t>
      </w:r>
      <w:r w:rsidRPr="00C51872">
        <w:rPr>
          <w:rFonts w:ascii="Arial" w:eastAsiaTheme="minorEastAsia" w:hAnsi="Arial" w:cs="Arial"/>
          <w:b/>
          <w:color w:val="414042"/>
          <w:sz w:val="24"/>
          <w:szCs w:val="24"/>
        </w:rPr>
        <w:t xml:space="preserve"> the ‘Still Waiting’ recommendations</w:t>
      </w:r>
      <w:r w:rsidR="0099401C">
        <w:rPr>
          <w:rFonts w:ascii="Arial" w:eastAsiaTheme="minorEastAsia" w:hAnsi="Arial" w:cs="Arial"/>
          <w:b/>
          <w:color w:val="414042"/>
          <w:sz w:val="24"/>
          <w:szCs w:val="24"/>
        </w:rPr>
        <w:t>; these</w:t>
      </w:r>
      <w:r>
        <w:rPr>
          <w:rFonts w:ascii="Arial" w:eastAsiaTheme="minorEastAsia" w:hAnsi="Arial" w:cs="Arial"/>
          <w:b/>
          <w:color w:val="414042"/>
          <w:sz w:val="24"/>
          <w:szCs w:val="24"/>
        </w:rPr>
        <w:t xml:space="preserve"> will form part of next year’s progress update.</w:t>
      </w:r>
    </w:p>
    <w:p w14:paraId="2B03D5AB" w14:textId="77777777" w:rsidR="00C54054" w:rsidRDefault="00C54054" w:rsidP="00C54054">
      <w:pPr>
        <w:pStyle w:val="NICCYSubTitle"/>
      </w:pPr>
    </w:p>
    <w:p w14:paraId="4D28D9E9" w14:textId="77777777" w:rsidR="00C54054" w:rsidRDefault="00C54054" w:rsidP="00C54054">
      <w:pPr>
        <w:pStyle w:val="NICCYSubTitle"/>
      </w:pPr>
      <w:r>
        <w:t>Reflection on SWAP priorities for 2021</w:t>
      </w:r>
    </w:p>
    <w:p w14:paraId="222B1341" w14:textId="087B5486" w:rsidR="00FE3296" w:rsidRDefault="00C54054" w:rsidP="00C54054">
      <w:pPr>
        <w:pStyle w:val="NICCYBodyText"/>
      </w:pPr>
      <w:r>
        <w:t xml:space="preserve">We welcome the plans to prioritise actions under the theme </w:t>
      </w:r>
      <w:r w:rsidR="0099401C">
        <w:t>‘</w:t>
      </w:r>
      <w:r>
        <w:t>children with additional needs</w:t>
      </w:r>
      <w:r w:rsidR="0099401C">
        <w:t>’</w:t>
      </w:r>
      <w:r>
        <w:t xml:space="preserve"> in next 12 months. This is an area in which strategic planning and investment is vital.  </w:t>
      </w:r>
    </w:p>
    <w:p w14:paraId="573CF67E" w14:textId="77777777" w:rsidR="00DE08BF" w:rsidRDefault="00FE3296" w:rsidP="00115FB3">
      <w:pPr>
        <w:pStyle w:val="NICCYBodyText"/>
      </w:pPr>
      <w:r w:rsidRPr="00FE3296">
        <w:t>Extra Contractual Referral (ECR)</w:t>
      </w:r>
      <w:r w:rsidRPr="00FE3296">
        <w:rPr>
          <w:sz w:val="20"/>
          <w:szCs w:val="20"/>
        </w:rPr>
        <w:t xml:space="preserve"> </w:t>
      </w:r>
      <w:r>
        <w:rPr>
          <w:rStyle w:val="FootnoteReference"/>
        </w:rPr>
        <w:footnoteReference w:id="9"/>
      </w:r>
      <w:r>
        <w:t xml:space="preserve"> data over the last 6 years shows the </w:t>
      </w:r>
      <w:r w:rsidRPr="0030595B">
        <w:t xml:space="preserve">primary presenting conditions of the young people </w:t>
      </w:r>
      <w:r>
        <w:t xml:space="preserve">transferred </w:t>
      </w:r>
      <w:r w:rsidRPr="0030595B">
        <w:t xml:space="preserve">include developmental and learning disabilities, </w:t>
      </w:r>
      <w:r w:rsidR="00922D1F">
        <w:t>and</w:t>
      </w:r>
      <w:r>
        <w:t xml:space="preserve"> co-occurring mental health and substance use problems</w:t>
      </w:r>
      <w:r w:rsidR="00922D1F">
        <w:t xml:space="preserve"> (dual diagnosis)</w:t>
      </w:r>
      <w:r w:rsidR="00A14B0B">
        <w:rPr>
          <w:rStyle w:val="FootnoteReference"/>
        </w:rPr>
        <w:footnoteReference w:id="10"/>
      </w:r>
      <w:r>
        <w:t xml:space="preserve">. </w:t>
      </w:r>
      <w:r w:rsidR="001160EC">
        <w:t>It is also important to note that the number of young people treated in a facility outside of NI, is relatively small- on an annual basis between 1-9 young people are</w:t>
      </w:r>
      <w:r w:rsidR="00221A5B">
        <w:t xml:space="preserve"> subject to an </w:t>
      </w:r>
      <w:r w:rsidR="001160EC">
        <w:t xml:space="preserve">ECR, as of 2019/20, overall 14 young people were receiving treatment outside of NI. </w:t>
      </w:r>
      <w:r w:rsidR="00EC7E84">
        <w:t>Statistics also show that irrespective of whether young people are treated in Northern Ireland (Iveagh Centre</w:t>
      </w:r>
      <w:r w:rsidR="00EC7E84">
        <w:rPr>
          <w:rStyle w:val="FootnoteReference"/>
        </w:rPr>
        <w:footnoteReference w:id="11"/>
      </w:r>
      <w:r w:rsidR="00EC7E84">
        <w:t>) or out of jurisdiction, the length of stay can be considerable and goes well beyond what would be termed an acceptable length of time for ‘assessment and treatment’</w:t>
      </w:r>
      <w:r w:rsidR="009F79BE">
        <w:t>.</w:t>
      </w:r>
      <w:r w:rsidR="00115FB3">
        <w:t xml:space="preserve"> The length of time young people were treated out of jurisdiction between 2014/15- 2019/20 ranged between 4 days and 1826 days (5 years), with an average stay </w:t>
      </w:r>
      <w:r w:rsidR="00115FB3">
        <w:lastRenderedPageBreak/>
        <w:t>of 244 days.</w:t>
      </w:r>
      <w:r w:rsidR="00B420B8">
        <w:t xml:space="preserve"> For the Iveagh Centre data for the period 2017-2019 length of stay ranged between 7 and 870 days (well over 2 years) with an average length of stay of 1 year (351 days).</w:t>
      </w:r>
      <w:r w:rsidR="00DE08BF">
        <w:t xml:space="preserve"> </w:t>
      </w:r>
    </w:p>
    <w:p w14:paraId="38BE013B" w14:textId="77777777" w:rsidR="00DE08BF" w:rsidRDefault="00DE08BF" w:rsidP="00115FB3">
      <w:pPr>
        <w:pStyle w:val="NICCYBodyText"/>
      </w:pPr>
    </w:p>
    <w:p w14:paraId="5C1FBAF9" w14:textId="39D10B2C" w:rsidR="00115FB3" w:rsidRPr="001C2FA3" w:rsidRDefault="00DE08BF" w:rsidP="00115FB3">
      <w:pPr>
        <w:pStyle w:val="NICCYBodyText"/>
        <w:rPr>
          <w:color w:val="262626" w:themeColor="text1" w:themeTint="D9"/>
        </w:rPr>
      </w:pPr>
      <w:r w:rsidRPr="00DE08BF">
        <w:t>NICCY has intervened in several judicial review cases regarding delayed discharge of young people from secure health facilities in 2019/20. These cases remain ongoing before the courts, and the contribution of NICCY to them to date has helped focus attention on the need for child centred strategies, policies and approaches.</w:t>
      </w:r>
      <w:r>
        <w:rPr>
          <w:rStyle w:val="FootnoteReference"/>
        </w:rPr>
        <w:footnoteReference w:id="12"/>
      </w:r>
      <w:r w:rsidR="00F943AC">
        <w:t xml:space="preserve"> </w:t>
      </w:r>
    </w:p>
    <w:p w14:paraId="34D322B6" w14:textId="3D12ED0D" w:rsidR="00FE3296" w:rsidRDefault="00EC7E84" w:rsidP="00C54054">
      <w:pPr>
        <w:pStyle w:val="NICCYBodyText"/>
      </w:pPr>
      <w:r>
        <w:t xml:space="preserve"> </w:t>
      </w:r>
    </w:p>
    <w:p w14:paraId="03C23EB0" w14:textId="1BD8C365" w:rsidR="00DE08BF" w:rsidRPr="00CC5F3F" w:rsidRDefault="00F943AC" w:rsidP="00F943AC">
      <w:pPr>
        <w:pStyle w:val="NICCYBodyText"/>
        <w:rPr>
          <w:b/>
        </w:rPr>
      </w:pPr>
      <w:r>
        <w:t>NICCY has welcomed the decision by the BHSCT Executive Team to move the Iveagh Centre under the Children’s Directorate of the BHSCT 18 months ago, and it is regrettable that this has not been progressed. A wide range of operational, strategic and budgetary planning issues</w:t>
      </w:r>
      <w:r w:rsidR="00CC5F3F">
        <w:t xml:space="preserve"> emanate</w:t>
      </w:r>
      <w:r>
        <w:t xml:space="preserve"> from the Iveagh Centre sitting under adult learning disability services.</w:t>
      </w:r>
      <w:r w:rsidR="00375CDE">
        <w:rPr>
          <w:rStyle w:val="FootnoteReference"/>
        </w:rPr>
        <w:footnoteReference w:id="13"/>
      </w:r>
      <w:r>
        <w:t xml:space="preserve"> </w:t>
      </w:r>
      <w:r w:rsidRPr="00CC5F3F">
        <w:rPr>
          <w:b/>
        </w:rPr>
        <w:t>We understand that the plan to move the Iveagh Centre under children’s services will now be reviewed as part of the Belfast Trust</w:t>
      </w:r>
      <w:r w:rsidR="00AA17C7">
        <w:rPr>
          <w:b/>
        </w:rPr>
        <w:t>s</w:t>
      </w:r>
      <w:r w:rsidRPr="00CC5F3F">
        <w:rPr>
          <w:b/>
        </w:rPr>
        <w:t xml:space="preserve"> wider restructuring, and it is imperative that this happens without delay. </w:t>
      </w:r>
    </w:p>
    <w:p w14:paraId="1E86963E" w14:textId="0B580C62" w:rsidR="00DE08BF" w:rsidRDefault="00DE08BF" w:rsidP="00C54054">
      <w:pPr>
        <w:pStyle w:val="NICCYBodyText"/>
      </w:pPr>
    </w:p>
    <w:p w14:paraId="333CA2DA" w14:textId="67B5995E" w:rsidR="007A29DC" w:rsidRDefault="00DE08BF" w:rsidP="00C54054">
      <w:pPr>
        <w:pStyle w:val="NICCYBodyText"/>
      </w:pPr>
      <w:r>
        <w:t>Overall, ‘c</w:t>
      </w:r>
      <w:r w:rsidR="00B864A6">
        <w:t>hildren with additional needs’</w:t>
      </w:r>
      <w:r w:rsidR="00C54054">
        <w:t xml:space="preserve"> is an area of the SWAP in which little progress has been made</w:t>
      </w:r>
      <w:r w:rsidR="0055267D">
        <w:t xml:space="preserve"> to date</w:t>
      </w:r>
      <w:r w:rsidR="00C54054">
        <w:t>.</w:t>
      </w:r>
      <w:r w:rsidR="007A29DC">
        <w:t xml:space="preserve"> </w:t>
      </w:r>
      <w:r w:rsidR="0004498F">
        <w:t>NICCY</w:t>
      </w:r>
      <w:r w:rsidR="0099401C">
        <w:t>’</w:t>
      </w:r>
      <w:r w:rsidR="0004498F">
        <w:t xml:space="preserve">s review engaged directly with young people with learning disability and those with alcohol and drug problems, as they were groups known to have particular issues with access to mental health support, and </w:t>
      </w:r>
      <w:r w:rsidR="00103F13">
        <w:t xml:space="preserve">for whom </w:t>
      </w:r>
      <w:r w:rsidR="0004498F">
        <w:t xml:space="preserve">the Review made a number of specific recommendations.  </w:t>
      </w:r>
      <w:r w:rsidR="0039206F">
        <w:t>The current SWAP has collapsed these recommendations made by NICCY, which make</w:t>
      </w:r>
      <w:r w:rsidR="00103F13">
        <w:t>s</w:t>
      </w:r>
      <w:r w:rsidR="0039206F">
        <w:t xml:space="preserve"> it difficult to monitor actions planned or progress made. </w:t>
      </w:r>
    </w:p>
    <w:p w14:paraId="38404B8E" w14:textId="77777777" w:rsidR="007A29DC" w:rsidRDefault="007A29DC" w:rsidP="00C54054">
      <w:pPr>
        <w:pStyle w:val="NICCYBodyText"/>
      </w:pPr>
    </w:p>
    <w:p w14:paraId="159F4F92" w14:textId="698B2A1E" w:rsidR="00C54054" w:rsidRPr="007A29DC" w:rsidRDefault="007A29DC" w:rsidP="00C54054">
      <w:pPr>
        <w:pStyle w:val="NICCYBodyText"/>
        <w:rPr>
          <w:b/>
        </w:rPr>
      </w:pPr>
      <w:r w:rsidRPr="007A29DC">
        <w:rPr>
          <w:b/>
        </w:rPr>
        <w:t xml:space="preserve">In anticipation </w:t>
      </w:r>
      <w:r w:rsidR="0004498F">
        <w:rPr>
          <w:b/>
        </w:rPr>
        <w:t>of the IDG</w:t>
      </w:r>
      <w:r w:rsidR="00103F13">
        <w:rPr>
          <w:b/>
        </w:rPr>
        <w:t>’</w:t>
      </w:r>
      <w:r w:rsidR="0004498F">
        <w:rPr>
          <w:b/>
        </w:rPr>
        <w:t>s</w:t>
      </w:r>
      <w:r w:rsidRPr="007A29DC">
        <w:rPr>
          <w:b/>
        </w:rPr>
        <w:t xml:space="preserve"> work</w:t>
      </w:r>
      <w:r w:rsidR="0004498F" w:rsidRPr="0004498F">
        <w:rPr>
          <w:b/>
        </w:rPr>
        <w:t xml:space="preserve"> to prioritise actions under the theme </w:t>
      </w:r>
      <w:r w:rsidR="00103F13">
        <w:rPr>
          <w:b/>
        </w:rPr>
        <w:t>‘</w:t>
      </w:r>
      <w:r w:rsidR="0004498F" w:rsidRPr="0004498F">
        <w:rPr>
          <w:b/>
        </w:rPr>
        <w:t>children with additional needs</w:t>
      </w:r>
      <w:r w:rsidR="00103F13">
        <w:rPr>
          <w:b/>
        </w:rPr>
        <w:t>’</w:t>
      </w:r>
      <w:r w:rsidRPr="0004498F">
        <w:rPr>
          <w:b/>
        </w:rPr>
        <w:t>,</w:t>
      </w:r>
      <w:r w:rsidRPr="007A29DC">
        <w:rPr>
          <w:b/>
        </w:rPr>
        <w:t xml:space="preserve"> we take this opportunity to reiterate our request for the SWAP to include all specific recommendations from NICCY</w:t>
      </w:r>
      <w:r w:rsidR="00103F13">
        <w:rPr>
          <w:b/>
        </w:rPr>
        <w:t>’</w:t>
      </w:r>
      <w:r w:rsidRPr="007A29DC">
        <w:rPr>
          <w:b/>
        </w:rPr>
        <w:t xml:space="preserve">s </w:t>
      </w:r>
      <w:r>
        <w:rPr>
          <w:b/>
        </w:rPr>
        <w:t xml:space="preserve">Still Waiting Review </w:t>
      </w:r>
      <w:r w:rsidRPr="007A29DC">
        <w:rPr>
          <w:b/>
        </w:rPr>
        <w:t xml:space="preserve">which relate to children with </w:t>
      </w:r>
      <w:r w:rsidR="00103F13">
        <w:rPr>
          <w:b/>
        </w:rPr>
        <w:t xml:space="preserve">a </w:t>
      </w:r>
      <w:r w:rsidRPr="007A29DC">
        <w:rPr>
          <w:b/>
        </w:rPr>
        <w:t>learning disability (re</w:t>
      </w:r>
      <w:r w:rsidR="00103F13">
        <w:rPr>
          <w:b/>
        </w:rPr>
        <w:t>c</w:t>
      </w:r>
      <w:r w:rsidRPr="007A29DC">
        <w:rPr>
          <w:b/>
        </w:rPr>
        <w:t xml:space="preserve">s 37-40, p277) and </w:t>
      </w:r>
      <w:r w:rsidR="00103F13">
        <w:rPr>
          <w:b/>
        </w:rPr>
        <w:t xml:space="preserve">children with </w:t>
      </w:r>
      <w:r w:rsidRPr="007A29DC">
        <w:rPr>
          <w:b/>
        </w:rPr>
        <w:t>alcohol and drug problems (recs 41-44, p277).</w:t>
      </w:r>
    </w:p>
    <w:p w14:paraId="1BBC445F" w14:textId="77777777" w:rsidR="002F30AB" w:rsidRDefault="002F30AB" w:rsidP="006D5DF1">
      <w:pPr>
        <w:pStyle w:val="NICCYSubTitle"/>
      </w:pPr>
    </w:p>
    <w:p w14:paraId="2097AA0F" w14:textId="77777777" w:rsidR="006D5DF1" w:rsidRPr="0093423B" w:rsidRDefault="006D5DF1" w:rsidP="006D5DF1">
      <w:pPr>
        <w:pStyle w:val="NICCYSubTitle"/>
        <w:rPr>
          <w:sz w:val="28"/>
          <w:szCs w:val="28"/>
        </w:rPr>
      </w:pPr>
      <w:r w:rsidRPr="0093423B">
        <w:rPr>
          <w:sz w:val="28"/>
          <w:szCs w:val="28"/>
        </w:rPr>
        <w:t xml:space="preserve">Conclusion </w:t>
      </w:r>
    </w:p>
    <w:p w14:paraId="7563C81B" w14:textId="1B005FE5" w:rsidR="00C353A1" w:rsidRDefault="00444C46" w:rsidP="00524D8A">
      <w:pPr>
        <w:pStyle w:val="NICCYBodyText"/>
      </w:pPr>
      <w:r>
        <w:t>The Commissioner welcomes the IDG’s</w:t>
      </w:r>
      <w:r w:rsidR="00E365C9">
        <w:t xml:space="preserve"> progress update report</w:t>
      </w:r>
      <w:r>
        <w:t xml:space="preserve"> </w:t>
      </w:r>
      <w:r w:rsidR="001B3CA7">
        <w:t>and understands</w:t>
      </w:r>
      <w:r w:rsidR="00E365C9">
        <w:t xml:space="preserve"> the </w:t>
      </w:r>
      <w:r w:rsidR="00E365C9">
        <w:lastRenderedPageBreak/>
        <w:t xml:space="preserve">difficulties that </w:t>
      </w:r>
      <w:proofErr w:type="spellStart"/>
      <w:r>
        <w:t>C</w:t>
      </w:r>
      <w:r w:rsidR="00E365C9">
        <w:t>ovid</w:t>
      </w:r>
      <w:proofErr w:type="spellEnd"/>
      <w:r w:rsidR="00E365C9">
        <w:t xml:space="preserve"> has </w:t>
      </w:r>
      <w:r w:rsidR="00103F13">
        <w:t>created</w:t>
      </w:r>
      <w:r>
        <w:t xml:space="preserve"> </w:t>
      </w:r>
      <w:r w:rsidR="00E365C9">
        <w:t>o</w:t>
      </w:r>
      <w:r w:rsidR="00C353A1">
        <w:t>n making progress in some areas.</w:t>
      </w:r>
      <w:r w:rsidR="00E365C9">
        <w:t xml:space="preserve"> </w:t>
      </w:r>
      <w:r w:rsidR="00EC54CA">
        <w:t xml:space="preserve">Whilst </w:t>
      </w:r>
      <w:r>
        <w:t>NICCY is</w:t>
      </w:r>
      <w:r w:rsidR="00EC54CA">
        <w:t xml:space="preserve"> disappointed that more progress has not been made in the delivery of more of the actions within the Still Waiting Action P</w:t>
      </w:r>
      <w:r w:rsidR="00781343">
        <w:t>lan,</w:t>
      </w:r>
      <w:r w:rsidR="00EC54CA">
        <w:t xml:space="preserve"> </w:t>
      </w:r>
      <w:r w:rsidR="00781343">
        <w:t>w</w:t>
      </w:r>
      <w:r w:rsidR="00C353A1">
        <w:t xml:space="preserve">e are hopeful that major strategic developments such as the Mental Health Strategy, Substance Misuse Strategy and the Emotional Health and Wellbeing in Education Framework will act as critical levers in the delivery of key actions outlined in the Still Waiting Action Plan. </w:t>
      </w:r>
      <w:r w:rsidR="00103F13">
        <w:t xml:space="preserve"> </w:t>
      </w:r>
      <w:r w:rsidR="00901326">
        <w:t xml:space="preserve">NICCY will continue to engage with all of these programmes of work </w:t>
      </w:r>
      <w:r w:rsidR="001B3CA7">
        <w:t>to ensure</w:t>
      </w:r>
      <w:r w:rsidR="00901326">
        <w:t xml:space="preserve"> that the focus on children and young people’s mental health, and the recommendations from Still Waiting</w:t>
      </w:r>
      <w:r w:rsidR="00103F13">
        <w:t>,</w:t>
      </w:r>
      <w:r w:rsidR="00901326">
        <w:t xml:space="preserve"> are informing </w:t>
      </w:r>
      <w:r w:rsidR="00103F13">
        <w:t xml:space="preserve">necessary </w:t>
      </w:r>
      <w:r w:rsidR="00901326">
        <w:t>changes to the system.</w:t>
      </w:r>
    </w:p>
    <w:p w14:paraId="100098AA" w14:textId="77777777" w:rsidR="00C353A1" w:rsidRDefault="00C353A1" w:rsidP="00524D8A">
      <w:pPr>
        <w:pStyle w:val="NICCYBodyText"/>
      </w:pPr>
    </w:p>
    <w:p w14:paraId="01ED781F" w14:textId="72E202F3" w:rsidR="00E365C9" w:rsidRDefault="00EC54CA" w:rsidP="00524D8A">
      <w:pPr>
        <w:pStyle w:val="NICCYBodyText"/>
      </w:pPr>
      <w:r>
        <w:t>The pandemic has also led to increased mental health problems in the population, particularly amongst children and young people. It</w:t>
      </w:r>
      <w:r w:rsidR="00E365C9">
        <w:t xml:space="preserve"> has also highlighted the importance of mental health and wellbeing and expedited </w:t>
      </w:r>
      <w:r w:rsidR="00901326">
        <w:t xml:space="preserve">some </w:t>
      </w:r>
      <w:r w:rsidR="00E365C9">
        <w:t>positi</w:t>
      </w:r>
      <w:r>
        <w:t>ve changes in service delivery and in attitude</w:t>
      </w:r>
      <w:r w:rsidR="006232CD">
        <w:t>s and focus on</w:t>
      </w:r>
      <w:r>
        <w:t xml:space="preserve"> this area of public health. </w:t>
      </w:r>
      <w:r w:rsidR="00F460D6">
        <w:t>Whilst huge challenges face society and public services during and post-</w:t>
      </w:r>
      <w:proofErr w:type="spellStart"/>
      <w:r w:rsidR="00F460D6">
        <w:t>covid</w:t>
      </w:r>
      <w:proofErr w:type="spellEnd"/>
      <w:r w:rsidR="00F460D6">
        <w:t xml:space="preserve">, there is also opportunity to address </w:t>
      </w:r>
      <w:r w:rsidR="00781343">
        <w:t>outdated practices and processes,</w:t>
      </w:r>
      <w:r w:rsidR="00F460D6">
        <w:t xml:space="preserve"> a</w:t>
      </w:r>
      <w:r w:rsidR="00103F13">
        <w:t>s well as</w:t>
      </w:r>
      <w:r w:rsidR="00F460D6">
        <w:t xml:space="preserve"> deep </w:t>
      </w:r>
      <w:r w:rsidR="00103F13">
        <w:t xml:space="preserve">rooted </w:t>
      </w:r>
      <w:r w:rsidR="00F460D6">
        <w:t xml:space="preserve">inequalities in mental health provision. </w:t>
      </w:r>
    </w:p>
    <w:p w14:paraId="0E25DFE2" w14:textId="77777777" w:rsidR="00103F13" w:rsidRDefault="00103F13" w:rsidP="00524D8A">
      <w:pPr>
        <w:pStyle w:val="NICCYBodyText"/>
      </w:pPr>
    </w:p>
    <w:p w14:paraId="5E0A916E" w14:textId="77777777" w:rsidR="00FA08F5" w:rsidRDefault="00FA08F5" w:rsidP="006D5DF1">
      <w:pPr>
        <w:pStyle w:val="NICCYBodyText"/>
      </w:pPr>
      <w:r>
        <w:t xml:space="preserve">In the year ahead we look forward to working with all relevant stakeholders, including </w:t>
      </w:r>
      <w:r w:rsidR="00516753">
        <w:t xml:space="preserve">our NICCY Youth Panel and </w:t>
      </w:r>
      <w:r>
        <w:t xml:space="preserve">the IDG to </w:t>
      </w:r>
      <w:r w:rsidR="00103F13">
        <w:t>‘</w:t>
      </w:r>
      <w:r>
        <w:t>make good</w:t>
      </w:r>
      <w:r w:rsidR="00103F13">
        <w:t>’</w:t>
      </w:r>
      <w:r>
        <w:t xml:space="preserve"> on the commitments made in the SWAP. </w:t>
      </w:r>
    </w:p>
    <w:p w14:paraId="567A1FDF" w14:textId="77777777" w:rsidR="00FA08F5" w:rsidRDefault="00FA08F5" w:rsidP="006D5DF1">
      <w:pPr>
        <w:pStyle w:val="NICCYBodyText"/>
      </w:pPr>
    </w:p>
    <w:p w14:paraId="262591F8" w14:textId="31954139" w:rsidR="00103F13" w:rsidRDefault="00373146" w:rsidP="00373146">
      <w:pPr>
        <w:pStyle w:val="NICCYSubTitle"/>
        <w:rPr>
          <w:b w:val="0"/>
          <w:color w:val="414042"/>
        </w:rPr>
      </w:pPr>
      <w:r>
        <w:rPr>
          <w:b w:val="0"/>
          <w:color w:val="414042"/>
        </w:rPr>
        <w:t xml:space="preserve">We </w:t>
      </w:r>
      <w:r w:rsidR="00103F13">
        <w:rPr>
          <w:b w:val="0"/>
          <w:color w:val="414042"/>
        </w:rPr>
        <w:t xml:space="preserve">end </w:t>
      </w:r>
      <w:r w:rsidR="001B3CA7">
        <w:rPr>
          <w:b w:val="0"/>
          <w:color w:val="414042"/>
        </w:rPr>
        <w:t>on a</w:t>
      </w:r>
      <w:r>
        <w:rPr>
          <w:b w:val="0"/>
          <w:color w:val="414042"/>
        </w:rPr>
        <w:t xml:space="preserve"> key point made when we published </w:t>
      </w:r>
      <w:r w:rsidR="00777593">
        <w:rPr>
          <w:b w:val="0"/>
          <w:color w:val="414042"/>
        </w:rPr>
        <w:t>‘</w:t>
      </w:r>
      <w:r>
        <w:rPr>
          <w:b w:val="0"/>
          <w:color w:val="414042"/>
        </w:rPr>
        <w:t>Still Waiting</w:t>
      </w:r>
      <w:r w:rsidR="00777593">
        <w:rPr>
          <w:b w:val="0"/>
          <w:color w:val="414042"/>
        </w:rPr>
        <w:t>’</w:t>
      </w:r>
      <w:r>
        <w:rPr>
          <w:b w:val="0"/>
          <w:color w:val="414042"/>
        </w:rPr>
        <w:t xml:space="preserve"> in 2018</w:t>
      </w:r>
      <w:r w:rsidR="00103F13">
        <w:rPr>
          <w:b w:val="0"/>
          <w:color w:val="414042"/>
        </w:rPr>
        <w:t xml:space="preserve"> </w:t>
      </w:r>
      <w:r w:rsidR="00777593">
        <w:rPr>
          <w:b w:val="0"/>
          <w:color w:val="414042"/>
        </w:rPr>
        <w:t xml:space="preserve">as it </w:t>
      </w:r>
      <w:r w:rsidR="00103F13">
        <w:rPr>
          <w:b w:val="0"/>
          <w:color w:val="414042"/>
        </w:rPr>
        <w:t>remains</w:t>
      </w:r>
      <w:r w:rsidR="00777593">
        <w:rPr>
          <w:b w:val="0"/>
          <w:color w:val="414042"/>
        </w:rPr>
        <w:t xml:space="preserve"> </w:t>
      </w:r>
      <w:r w:rsidR="00103F13">
        <w:rPr>
          <w:b w:val="0"/>
          <w:color w:val="414042"/>
        </w:rPr>
        <w:t xml:space="preserve">of </w:t>
      </w:r>
      <w:r w:rsidR="00777593">
        <w:rPr>
          <w:b w:val="0"/>
          <w:color w:val="414042"/>
        </w:rPr>
        <w:t>fundamental</w:t>
      </w:r>
      <w:r w:rsidR="00103F13">
        <w:rPr>
          <w:b w:val="0"/>
          <w:color w:val="414042"/>
        </w:rPr>
        <w:t xml:space="preserve"> importance</w:t>
      </w:r>
      <w:r w:rsidR="00F460D6">
        <w:rPr>
          <w:b w:val="0"/>
          <w:color w:val="414042"/>
        </w:rPr>
        <w:t xml:space="preserve"> as we go forward</w:t>
      </w:r>
      <w:r w:rsidR="00103F13">
        <w:rPr>
          <w:b w:val="0"/>
          <w:color w:val="414042"/>
        </w:rPr>
        <w:t>.</w:t>
      </w:r>
    </w:p>
    <w:p w14:paraId="0A5D9669" w14:textId="77777777" w:rsidR="00103F13" w:rsidRDefault="00103F13" w:rsidP="00373146">
      <w:pPr>
        <w:pStyle w:val="NICCYSubTitle"/>
        <w:rPr>
          <w:b w:val="0"/>
          <w:color w:val="414042"/>
        </w:rPr>
      </w:pPr>
    </w:p>
    <w:p w14:paraId="43600047" w14:textId="3DE5A038" w:rsidR="00255887" w:rsidRPr="00516753" w:rsidRDefault="00BA0FF0" w:rsidP="001B3CA7">
      <w:pPr>
        <w:pStyle w:val="NICCYSubTitle"/>
      </w:pPr>
      <w:r>
        <w:rPr>
          <w:color w:val="414042"/>
        </w:rPr>
        <w:t>‘T</w:t>
      </w:r>
      <w:r w:rsidR="00373146" w:rsidRPr="00516753">
        <w:rPr>
          <w:color w:val="414042"/>
        </w:rPr>
        <w:t>o drive real</w:t>
      </w:r>
      <w:r w:rsidR="00450E2B">
        <w:rPr>
          <w:color w:val="414042"/>
        </w:rPr>
        <w:t>,</w:t>
      </w:r>
      <w:r w:rsidR="00373146" w:rsidRPr="00516753">
        <w:rPr>
          <w:color w:val="414042"/>
        </w:rPr>
        <w:t xml:space="preserve"> positive and sustainable change in the availability, accessibility and quality of mental health services and support available to young people, child and adolescent mental health must become a regional priority, with sufficient investment to reflect this.’</w:t>
      </w:r>
      <w:r w:rsidR="001B3CA7">
        <w:rPr>
          <w:rStyle w:val="FootnoteReference"/>
          <w:color w:val="414042"/>
        </w:rPr>
        <w:footnoteReference w:id="14"/>
      </w:r>
    </w:p>
    <w:p w14:paraId="54F77E3B" w14:textId="77777777" w:rsidR="006D5DF1" w:rsidRDefault="006D5DF1" w:rsidP="00EB4483"/>
    <w:p w14:paraId="35B2807D" w14:textId="77777777" w:rsidR="006D5DF1" w:rsidRDefault="006D5DF1" w:rsidP="00EB4483"/>
    <w:p w14:paraId="1BF81A32" w14:textId="77777777" w:rsidR="006D5DF1" w:rsidRPr="00EB4483" w:rsidRDefault="006D5DF1" w:rsidP="00EB4483"/>
    <w:sectPr w:rsidR="006D5DF1" w:rsidRPr="00EB4483" w:rsidSect="00384CE2">
      <w:headerReference w:type="default" r:id="rId9"/>
      <w:footerReference w:type="even" r:id="rId10"/>
      <w:footerReference w:type="default" r:id="rId11"/>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EDB9D" w14:textId="77777777" w:rsidR="00CB6F90" w:rsidRDefault="00CB6F90" w:rsidP="00280C3B">
      <w:r>
        <w:separator/>
      </w:r>
    </w:p>
  </w:endnote>
  <w:endnote w:type="continuationSeparator" w:id="0">
    <w:p w14:paraId="65AD7773" w14:textId="77777777" w:rsidR="00CB6F90" w:rsidRDefault="00CB6F90"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Georgia"/>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D9E8F" w14:textId="77777777" w:rsidR="006232CD" w:rsidRDefault="006232CD"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894D6" w14:textId="77777777" w:rsidR="006232CD" w:rsidRDefault="006232CD" w:rsidP="00D81956">
    <w:pPr>
      <w:pStyle w:val="Footer"/>
      <w:ind w:right="360"/>
    </w:pPr>
  </w:p>
  <w:p w14:paraId="26E2BB1F" w14:textId="77777777" w:rsidR="006232CD" w:rsidRDefault="006232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81D05" w14:textId="2D4B8E92" w:rsidR="006232CD" w:rsidRPr="008C32B9" w:rsidRDefault="006232CD"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F53DA6">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14:paraId="617E50BC" w14:textId="77777777" w:rsidR="006232CD" w:rsidRPr="008C32B9" w:rsidRDefault="006232CD"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lang w:val="en-GB" w:eastAsia="en-GB"/>
      </w:rPr>
      <mc:AlternateContent>
        <mc:Choice Requires="wpg">
          <w:drawing>
            <wp:anchor distT="0" distB="0" distL="114300" distR="114300" simplePos="0" relativeHeight="251657728" behindDoc="0" locked="0" layoutInCell="1" allowOverlap="1" wp14:anchorId="4E3B2675" wp14:editId="4E3F4193">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17072441" w14:textId="77777777" w:rsidR="006232CD" w:rsidRDefault="006232CD"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2C9506" w14:textId="77777777" w:rsidR="006232CD" w:rsidRDefault="006232CD"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C3CCD1F" w14:textId="77777777" w:rsidR="006232CD" w:rsidRDefault="006232CD"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500A7930" w14:textId="77777777" w:rsidR="006232CD" w:rsidRDefault="006232CD"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AC08A9" w14:textId="77777777" w:rsidR="006232CD" w:rsidRDefault="006232CD"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3B2675" id="Group 10" o:spid="_x0000_s1026" style="position:absolute;margin-left:-71.95pt;margin-top:-26.9pt;width:595.25pt;height:5.45pt;z-index:251657728"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17072441" w14:textId="77777777" w:rsidR="006232CD" w:rsidRDefault="006232CD"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7D2C9506" w14:textId="77777777" w:rsidR="006232CD" w:rsidRDefault="006232CD"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5C3CCD1F" w14:textId="77777777" w:rsidR="006232CD" w:rsidRDefault="006232CD"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500A7930" w14:textId="77777777" w:rsidR="006232CD" w:rsidRDefault="006232CD"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46AC08A9" w14:textId="77777777" w:rsidR="006232CD" w:rsidRDefault="006232CD" w:rsidP="00C749C1"/>
                  </w:txbxContent>
                </v:textbox>
              </v:rect>
              <w10:wrap type="tight"/>
            </v:group>
          </w:pict>
        </mc:Fallback>
      </mc:AlternateContent>
    </w:r>
  </w:p>
  <w:p w14:paraId="45EC2951" w14:textId="77777777" w:rsidR="006232CD" w:rsidRDefault="006232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BD861" w14:textId="77777777" w:rsidR="00CB6F90" w:rsidRDefault="00CB6F90" w:rsidP="00280C3B">
      <w:r>
        <w:separator/>
      </w:r>
    </w:p>
  </w:footnote>
  <w:footnote w:type="continuationSeparator" w:id="0">
    <w:p w14:paraId="47158D76" w14:textId="77777777" w:rsidR="00CB6F90" w:rsidRDefault="00CB6F90" w:rsidP="00280C3B">
      <w:r>
        <w:continuationSeparator/>
      </w:r>
    </w:p>
  </w:footnote>
  <w:footnote w:id="1">
    <w:p w14:paraId="6BC393E5" w14:textId="77777777" w:rsidR="006232CD" w:rsidRPr="00AF6C9C" w:rsidRDefault="006232CD">
      <w:pPr>
        <w:pStyle w:val="FootnoteText"/>
        <w:rPr>
          <w:lang w:val="en-GB"/>
        </w:rPr>
      </w:pPr>
      <w:r>
        <w:rPr>
          <w:rStyle w:val="FootnoteReference"/>
        </w:rPr>
        <w:footnoteRef/>
      </w:r>
      <w:r>
        <w:t xml:space="preserve"> </w:t>
      </w:r>
      <w:hyperlink r:id="rId1" w:history="1">
        <w:r w:rsidRPr="005E3A4E">
          <w:rPr>
            <w:rStyle w:val="Hyperlink"/>
            <w:rFonts w:ascii="Arial" w:hAnsi="Arial" w:cs="Arial"/>
            <w:sz w:val="20"/>
            <w:szCs w:val="20"/>
            <w:lang w:eastAsia="en-GB"/>
          </w:rPr>
          <w:t>www.niccy.org/StillWaiting</w:t>
        </w:r>
      </w:hyperlink>
    </w:p>
  </w:footnote>
  <w:footnote w:id="2">
    <w:p w14:paraId="490D9CD2" w14:textId="77777777" w:rsidR="006232CD" w:rsidRPr="002A0AE4" w:rsidRDefault="006232CD" w:rsidP="005E3A4E">
      <w:pPr>
        <w:pStyle w:val="FootnoteText"/>
        <w:rPr>
          <w:lang w:val="en-GB"/>
        </w:rPr>
      </w:pPr>
      <w:r>
        <w:rPr>
          <w:rStyle w:val="FootnoteReference"/>
        </w:rPr>
        <w:footnoteRef/>
      </w:r>
      <w:r>
        <w:t xml:space="preserve"> </w:t>
      </w:r>
      <w:r>
        <w:rPr>
          <w:rFonts w:ascii="Arial" w:hAnsi="Arial" w:cs="Arial"/>
          <w:sz w:val="20"/>
          <w:szCs w:val="20"/>
          <w:lang w:val="en-GB"/>
        </w:rPr>
        <w:t>ibid</w:t>
      </w:r>
    </w:p>
  </w:footnote>
  <w:footnote w:id="3">
    <w:p w14:paraId="04003944" w14:textId="4B03952F" w:rsidR="006B6A27" w:rsidRPr="006B6A27" w:rsidRDefault="006B6A27" w:rsidP="006B6A27">
      <w:pPr>
        <w:pStyle w:val="FootnoteText"/>
        <w:rPr>
          <w:lang w:val="en-GB"/>
        </w:rPr>
      </w:pPr>
      <w:r>
        <w:rPr>
          <w:rStyle w:val="FootnoteReference"/>
        </w:rPr>
        <w:footnoteRef/>
      </w:r>
      <w:r>
        <w:t xml:space="preserve"> </w:t>
      </w:r>
      <w:r w:rsidRPr="006B6A27">
        <w:rPr>
          <w:rFonts w:ascii="Arial" w:hAnsi="Arial" w:cs="Arial"/>
          <w:sz w:val="20"/>
          <w:szCs w:val="20"/>
          <w:lang w:val="en-GB"/>
        </w:rPr>
        <w:t xml:space="preserve">Mental Health Data Report available from </w:t>
      </w:r>
      <w:hyperlink r:id="rId2" w:history="1">
        <w:r w:rsidRPr="006B6A27">
          <w:rPr>
            <w:rStyle w:val="Hyperlink"/>
            <w:rFonts w:ascii="Arial" w:hAnsi="Arial" w:cs="Arial"/>
            <w:sz w:val="20"/>
            <w:szCs w:val="20"/>
          </w:rPr>
          <w:t>www.niccy.org/StillWaiting</w:t>
        </w:r>
      </w:hyperlink>
    </w:p>
  </w:footnote>
  <w:footnote w:id="4">
    <w:p w14:paraId="2A45FC08" w14:textId="77777777" w:rsidR="006232CD" w:rsidRPr="00127101" w:rsidRDefault="006232CD">
      <w:pPr>
        <w:pStyle w:val="FootnoteText"/>
        <w:rPr>
          <w:lang w:val="en-GB"/>
        </w:rPr>
      </w:pPr>
      <w:r>
        <w:rPr>
          <w:rStyle w:val="FootnoteReference"/>
        </w:rPr>
        <w:footnoteRef/>
      </w:r>
      <w:r>
        <w:t xml:space="preserve"> </w:t>
      </w:r>
      <w:hyperlink r:id="rId3" w:history="1">
        <w:r w:rsidRPr="00144328">
          <w:rPr>
            <w:rStyle w:val="Hyperlink"/>
            <w:rFonts w:ascii="Arial" w:hAnsi="Arial" w:cs="Arial"/>
            <w:sz w:val="20"/>
            <w:szCs w:val="20"/>
          </w:rPr>
          <w:t>https://www.health-ni.gov.uk/publications/mental-health-action-plan</w:t>
        </w:r>
      </w:hyperlink>
      <w:r>
        <w:rPr>
          <w:rFonts w:ascii="Arial" w:hAnsi="Arial" w:cs="Arial"/>
          <w:sz w:val="20"/>
          <w:szCs w:val="20"/>
        </w:rPr>
        <w:t xml:space="preserve"> </w:t>
      </w:r>
      <w:proofErr w:type="spellStart"/>
      <w:r>
        <w:rPr>
          <w:rFonts w:ascii="Arial" w:hAnsi="Arial" w:cs="Arial"/>
          <w:sz w:val="20"/>
          <w:szCs w:val="20"/>
        </w:rPr>
        <w:t>pg</w:t>
      </w:r>
      <w:proofErr w:type="spellEnd"/>
      <w:r>
        <w:rPr>
          <w:rFonts w:ascii="Arial" w:hAnsi="Arial" w:cs="Arial"/>
          <w:sz w:val="20"/>
          <w:szCs w:val="20"/>
        </w:rPr>
        <w:t xml:space="preserve"> 48</w:t>
      </w:r>
    </w:p>
  </w:footnote>
  <w:footnote w:id="5">
    <w:p w14:paraId="59E28D48" w14:textId="77777777" w:rsidR="00DD3FAE" w:rsidRPr="002F6B87" w:rsidRDefault="00DD3FAE" w:rsidP="00DD3FAE">
      <w:pPr>
        <w:pStyle w:val="FootnoteText"/>
        <w:rPr>
          <w:lang w:val="en-GB"/>
        </w:rPr>
      </w:pPr>
      <w:r>
        <w:rPr>
          <w:rStyle w:val="FootnoteReference"/>
        </w:rPr>
        <w:footnoteRef/>
      </w:r>
      <w:r>
        <w:t xml:space="preserve"> </w:t>
      </w:r>
      <w:hyperlink r:id="rId4" w:history="1">
        <w:r w:rsidRPr="002F6B87">
          <w:rPr>
            <w:rStyle w:val="Hyperlink"/>
            <w:rFonts w:ascii="Arial" w:hAnsi="Arial" w:cs="Arial"/>
            <w:sz w:val="20"/>
            <w:szCs w:val="20"/>
          </w:rPr>
          <w:t>niccy-socrni-2-main-report-web-nov-20.pdf</w:t>
        </w:r>
      </w:hyperlink>
      <w:r>
        <w:rPr>
          <w:rFonts w:ascii="Arial" w:hAnsi="Arial" w:cs="Arial"/>
          <w:sz w:val="20"/>
          <w:szCs w:val="20"/>
        </w:rPr>
        <w:t xml:space="preserve"> p41</w:t>
      </w:r>
    </w:p>
  </w:footnote>
  <w:footnote w:id="6">
    <w:p w14:paraId="6352DCD8" w14:textId="77777777" w:rsidR="006232CD" w:rsidRPr="002F6B87" w:rsidRDefault="006232CD" w:rsidP="00395A92">
      <w:pPr>
        <w:pStyle w:val="FootnoteText"/>
        <w:rPr>
          <w:lang w:val="en-GB"/>
        </w:rPr>
      </w:pPr>
      <w:r>
        <w:rPr>
          <w:rStyle w:val="FootnoteReference"/>
        </w:rPr>
        <w:footnoteRef/>
      </w:r>
      <w:r>
        <w:t xml:space="preserve"> </w:t>
      </w:r>
      <w:hyperlink r:id="rId5" w:history="1">
        <w:r w:rsidRPr="002F6B87">
          <w:rPr>
            <w:rStyle w:val="Hyperlink"/>
            <w:rFonts w:ascii="Arial" w:hAnsi="Arial" w:cs="Arial"/>
            <w:sz w:val="20"/>
            <w:szCs w:val="20"/>
          </w:rPr>
          <w:t>niccy-socrni-2-main-report-web-nov-20.pdf</w:t>
        </w:r>
      </w:hyperlink>
      <w:r>
        <w:rPr>
          <w:rFonts w:ascii="Arial" w:hAnsi="Arial" w:cs="Arial"/>
          <w:sz w:val="20"/>
          <w:szCs w:val="20"/>
        </w:rPr>
        <w:t xml:space="preserve"> </w:t>
      </w:r>
    </w:p>
  </w:footnote>
  <w:footnote w:id="7">
    <w:p w14:paraId="7CEF3490" w14:textId="77777777" w:rsidR="006232CD" w:rsidRPr="00E84291" w:rsidRDefault="006232CD" w:rsidP="0093423B">
      <w:pPr>
        <w:pStyle w:val="FootnoteText"/>
        <w:rPr>
          <w:lang w:val="en-GB"/>
        </w:rPr>
      </w:pPr>
      <w:r>
        <w:rPr>
          <w:rStyle w:val="FootnoteReference"/>
        </w:rPr>
        <w:footnoteRef/>
      </w:r>
      <w:r>
        <w:t xml:space="preserve"> </w:t>
      </w:r>
      <w:hyperlink r:id="rId6" w:history="1">
        <w:r w:rsidRPr="00E84291">
          <w:rPr>
            <w:rStyle w:val="Hyperlink"/>
            <w:rFonts w:ascii="Arial" w:hAnsi="Arial" w:cs="Arial"/>
            <w:sz w:val="20"/>
            <w:szCs w:val="20"/>
          </w:rPr>
          <w:t>Youth Wellbeing Prevalence Survey 2020 - HSCB (hscni.net)</w:t>
        </w:r>
      </w:hyperlink>
    </w:p>
  </w:footnote>
  <w:footnote w:id="8">
    <w:p w14:paraId="63F757E8" w14:textId="49C066A7" w:rsidR="0055275C" w:rsidRPr="00CF02FF" w:rsidRDefault="0055275C">
      <w:pPr>
        <w:pStyle w:val="FootnoteText"/>
        <w:rPr>
          <w:rFonts w:ascii="Arial" w:hAnsi="Arial" w:cs="Arial"/>
          <w:sz w:val="20"/>
          <w:szCs w:val="20"/>
          <w:lang w:val="en-GB"/>
        </w:rPr>
      </w:pPr>
      <w:r>
        <w:rPr>
          <w:rStyle w:val="FootnoteReference"/>
        </w:rPr>
        <w:footnoteRef/>
      </w:r>
      <w:r>
        <w:t xml:space="preserve"> </w:t>
      </w:r>
      <w:r w:rsidRPr="00CF02FF">
        <w:rPr>
          <w:rFonts w:ascii="Arial" w:hAnsi="Arial" w:cs="Arial"/>
          <w:sz w:val="20"/>
          <w:szCs w:val="20"/>
          <w:lang w:val="en-GB"/>
        </w:rPr>
        <w:t xml:space="preserve">Mental Health Data Report available from </w:t>
      </w:r>
      <w:hyperlink r:id="rId7" w:history="1">
        <w:r w:rsidRPr="00CF02FF">
          <w:rPr>
            <w:rStyle w:val="Hyperlink"/>
            <w:rFonts w:ascii="Arial" w:hAnsi="Arial" w:cs="Arial"/>
            <w:sz w:val="20"/>
            <w:szCs w:val="20"/>
          </w:rPr>
          <w:t>Mental Health Review - Still Waiting (niccy.org)</w:t>
        </w:r>
      </w:hyperlink>
    </w:p>
  </w:footnote>
  <w:footnote w:id="9">
    <w:p w14:paraId="619B9577" w14:textId="13C8C7F6" w:rsidR="00FE3296" w:rsidRPr="00FE3296" w:rsidRDefault="00FE3296">
      <w:pPr>
        <w:pStyle w:val="FootnoteText"/>
        <w:rPr>
          <w:rFonts w:ascii="Arial" w:hAnsi="Arial" w:cs="Arial"/>
          <w:sz w:val="20"/>
          <w:szCs w:val="20"/>
          <w:lang w:val="en-GB"/>
        </w:rPr>
      </w:pPr>
      <w:r>
        <w:rPr>
          <w:rStyle w:val="FootnoteReference"/>
        </w:rPr>
        <w:footnoteRef/>
      </w:r>
      <w:r>
        <w:t xml:space="preserve"> </w:t>
      </w:r>
      <w:r w:rsidRPr="00FE3296">
        <w:rPr>
          <w:rFonts w:ascii="Arial" w:hAnsi="Arial" w:cs="Arial"/>
          <w:color w:val="414042"/>
          <w:sz w:val="20"/>
          <w:szCs w:val="20"/>
          <w:lang w:val="en-GB"/>
        </w:rPr>
        <w:t xml:space="preserve">An </w:t>
      </w:r>
      <w:r>
        <w:rPr>
          <w:rFonts w:ascii="Arial" w:hAnsi="Arial" w:cs="Arial"/>
          <w:color w:val="414042"/>
          <w:sz w:val="20"/>
          <w:szCs w:val="20"/>
          <w:lang w:val="en-GB"/>
        </w:rPr>
        <w:t>ECR</w:t>
      </w:r>
      <w:r w:rsidRPr="00FE3296">
        <w:rPr>
          <w:rFonts w:ascii="Arial" w:hAnsi="Arial" w:cs="Arial"/>
          <w:color w:val="414042"/>
          <w:sz w:val="20"/>
          <w:szCs w:val="20"/>
          <w:lang w:val="en-GB"/>
        </w:rPr>
        <w:t xml:space="preserve"> occurs when a child or young person is transferred to an inpatient facility outside of Northern Ireland for specialist clinical treatment or therapeutic care/ interventions which are not available in Northern Ireland</w:t>
      </w:r>
      <w:r>
        <w:rPr>
          <w:rFonts w:ascii="Arial" w:hAnsi="Arial" w:cs="Arial"/>
          <w:color w:val="414042"/>
          <w:sz w:val="20"/>
          <w:szCs w:val="20"/>
          <w:lang w:val="en-GB"/>
        </w:rPr>
        <w:t>.</w:t>
      </w:r>
      <w:r w:rsidR="00EC7E84">
        <w:rPr>
          <w:rFonts w:ascii="Arial" w:hAnsi="Arial" w:cs="Arial"/>
          <w:color w:val="414042"/>
          <w:sz w:val="20"/>
          <w:szCs w:val="20"/>
          <w:lang w:val="en-GB"/>
        </w:rPr>
        <w:t xml:space="preserve"> </w:t>
      </w:r>
    </w:p>
  </w:footnote>
  <w:footnote w:id="10">
    <w:p w14:paraId="37508979" w14:textId="25806F3D" w:rsidR="00A14B0B" w:rsidRPr="00A003BC" w:rsidRDefault="00A14B0B">
      <w:pPr>
        <w:pStyle w:val="FootnoteText"/>
        <w:rPr>
          <w:rFonts w:ascii="Arial" w:hAnsi="Arial" w:cs="Arial"/>
          <w:sz w:val="20"/>
          <w:szCs w:val="20"/>
          <w:lang w:val="en-GB"/>
        </w:rPr>
      </w:pPr>
      <w:r>
        <w:rPr>
          <w:rStyle w:val="FootnoteReference"/>
        </w:rPr>
        <w:footnoteRef/>
      </w:r>
      <w:r>
        <w:t xml:space="preserve"> </w:t>
      </w:r>
      <w:r w:rsidR="00152C62" w:rsidRPr="00A003BC">
        <w:rPr>
          <w:rFonts w:ascii="Arial" w:hAnsi="Arial" w:cs="Arial"/>
          <w:color w:val="414042"/>
          <w:sz w:val="20"/>
          <w:szCs w:val="20"/>
          <w:lang w:val="en-GB"/>
        </w:rPr>
        <w:t>M</w:t>
      </w:r>
      <w:r w:rsidR="00C8126E" w:rsidRPr="00A003BC">
        <w:rPr>
          <w:rFonts w:ascii="Arial" w:hAnsi="Arial" w:cs="Arial"/>
          <w:color w:val="414042"/>
          <w:sz w:val="20"/>
          <w:szCs w:val="20"/>
          <w:lang w:val="en-GB"/>
        </w:rPr>
        <w:t xml:space="preserve">ental </w:t>
      </w:r>
      <w:r w:rsidR="00152C62" w:rsidRPr="00A003BC">
        <w:rPr>
          <w:rFonts w:ascii="Arial" w:hAnsi="Arial" w:cs="Arial"/>
          <w:color w:val="414042"/>
          <w:sz w:val="20"/>
          <w:szCs w:val="20"/>
          <w:lang w:val="en-GB"/>
        </w:rPr>
        <w:t>H</w:t>
      </w:r>
      <w:r w:rsidR="00C8126E" w:rsidRPr="00A003BC">
        <w:rPr>
          <w:rFonts w:ascii="Arial" w:hAnsi="Arial" w:cs="Arial"/>
          <w:color w:val="414042"/>
          <w:sz w:val="20"/>
          <w:szCs w:val="20"/>
          <w:lang w:val="en-GB"/>
        </w:rPr>
        <w:t>ealth</w:t>
      </w:r>
      <w:r w:rsidR="00152C62" w:rsidRPr="00A003BC">
        <w:rPr>
          <w:rFonts w:ascii="Arial" w:hAnsi="Arial" w:cs="Arial"/>
          <w:color w:val="414042"/>
          <w:sz w:val="20"/>
          <w:szCs w:val="20"/>
          <w:lang w:val="en-GB"/>
        </w:rPr>
        <w:t xml:space="preserve"> Data Report- Section 11.1, Table 13.</w:t>
      </w:r>
      <w:r w:rsidR="00A003BC" w:rsidRPr="00A003BC">
        <w:rPr>
          <w:rFonts w:ascii="Arial" w:hAnsi="Arial" w:cs="Arial"/>
          <w:color w:val="414042"/>
          <w:sz w:val="20"/>
          <w:szCs w:val="20"/>
          <w:lang w:val="en-GB"/>
        </w:rPr>
        <w:t xml:space="preserve"> </w:t>
      </w:r>
      <w:hyperlink r:id="rId8" w:history="1">
        <w:r w:rsidR="00A003BC" w:rsidRPr="00A003BC">
          <w:rPr>
            <w:rStyle w:val="Hyperlink"/>
            <w:rFonts w:ascii="Arial" w:hAnsi="Arial" w:cs="Arial"/>
            <w:sz w:val="20"/>
            <w:szCs w:val="20"/>
          </w:rPr>
          <w:t>Mental Health Review - Still Waiting (niccy.org)</w:t>
        </w:r>
      </w:hyperlink>
    </w:p>
  </w:footnote>
  <w:footnote w:id="11">
    <w:p w14:paraId="7561A080" w14:textId="76EA489D" w:rsidR="00EC7E84" w:rsidRDefault="00EC7E84" w:rsidP="00A003BC">
      <w:pPr>
        <w:pStyle w:val="NICCYBodyText"/>
        <w:spacing w:line="240" w:lineRule="auto"/>
      </w:pPr>
      <w:r>
        <w:rPr>
          <w:rStyle w:val="FootnoteReference"/>
        </w:rPr>
        <w:footnoteRef/>
      </w:r>
      <w:r>
        <w:t xml:space="preserve"> </w:t>
      </w:r>
      <w:r w:rsidRPr="00EC7E84">
        <w:rPr>
          <w:sz w:val="20"/>
          <w:szCs w:val="20"/>
        </w:rPr>
        <w:t xml:space="preserve">The Iveagh Centre is the </w:t>
      </w:r>
      <w:r w:rsidR="00D7457B">
        <w:rPr>
          <w:sz w:val="20"/>
          <w:szCs w:val="20"/>
        </w:rPr>
        <w:t>6</w:t>
      </w:r>
      <w:r>
        <w:rPr>
          <w:sz w:val="20"/>
          <w:szCs w:val="20"/>
        </w:rPr>
        <w:t xml:space="preserve"> bed </w:t>
      </w:r>
      <w:r w:rsidRPr="00EC7E84">
        <w:rPr>
          <w:sz w:val="20"/>
          <w:szCs w:val="20"/>
        </w:rPr>
        <w:t xml:space="preserve">specialist </w:t>
      </w:r>
      <w:r>
        <w:rPr>
          <w:sz w:val="20"/>
          <w:szCs w:val="20"/>
        </w:rPr>
        <w:t xml:space="preserve">in-patient </w:t>
      </w:r>
      <w:r w:rsidR="00CC5F3F">
        <w:rPr>
          <w:sz w:val="20"/>
          <w:szCs w:val="20"/>
        </w:rPr>
        <w:t xml:space="preserve">facility in NI, </w:t>
      </w:r>
      <w:r w:rsidRPr="00EC7E84">
        <w:rPr>
          <w:sz w:val="20"/>
          <w:szCs w:val="20"/>
        </w:rPr>
        <w:t xml:space="preserve">for </w:t>
      </w:r>
      <w:r>
        <w:rPr>
          <w:sz w:val="20"/>
          <w:szCs w:val="20"/>
        </w:rPr>
        <w:t xml:space="preserve">the </w:t>
      </w:r>
      <w:r w:rsidRPr="00EC7E84">
        <w:rPr>
          <w:sz w:val="20"/>
          <w:szCs w:val="20"/>
        </w:rPr>
        <w:t xml:space="preserve">assessment and or treatment </w:t>
      </w:r>
      <w:r>
        <w:rPr>
          <w:sz w:val="20"/>
          <w:szCs w:val="20"/>
        </w:rPr>
        <w:t xml:space="preserve">of </w:t>
      </w:r>
      <w:r w:rsidRPr="00EC7E84">
        <w:rPr>
          <w:sz w:val="20"/>
          <w:szCs w:val="20"/>
        </w:rPr>
        <w:t>children and young people who have a learning disability and additional mental health / behavioural difficulties.</w:t>
      </w:r>
      <w:r w:rsidR="00CC5F3F">
        <w:rPr>
          <w:sz w:val="20"/>
          <w:szCs w:val="20"/>
        </w:rPr>
        <w:t xml:space="preserve"> Until recently it was an 8 bed unit.</w:t>
      </w:r>
    </w:p>
    <w:p w14:paraId="63653341" w14:textId="1D9C3A00" w:rsidR="00EC7E84" w:rsidRPr="00EC7E84" w:rsidRDefault="00EC7E84">
      <w:pPr>
        <w:pStyle w:val="FootnoteText"/>
        <w:rPr>
          <w:lang w:val="en-GB"/>
        </w:rPr>
      </w:pPr>
    </w:p>
  </w:footnote>
  <w:footnote w:id="12">
    <w:p w14:paraId="6599789C" w14:textId="15275DE4" w:rsidR="00DE08BF" w:rsidRPr="00DE08BF" w:rsidRDefault="00DE08BF">
      <w:pPr>
        <w:pStyle w:val="FootnoteText"/>
        <w:rPr>
          <w:lang w:val="en-GB"/>
        </w:rPr>
      </w:pPr>
      <w:r>
        <w:rPr>
          <w:rStyle w:val="FootnoteReference"/>
        </w:rPr>
        <w:footnoteRef/>
      </w:r>
      <w:r>
        <w:t xml:space="preserve"> </w:t>
      </w:r>
      <w:hyperlink r:id="rId9" w:history="1">
        <w:r w:rsidRPr="00DE08BF">
          <w:rPr>
            <w:rStyle w:val="Hyperlink"/>
            <w:rFonts w:ascii="Arial" w:hAnsi="Arial" w:cs="Arial"/>
            <w:sz w:val="20"/>
            <w:szCs w:val="20"/>
          </w:rPr>
          <w:t>niccy-legal-casework-19-20-final-web.pdf</w:t>
        </w:r>
      </w:hyperlink>
      <w:r w:rsidRPr="00DE08BF">
        <w:rPr>
          <w:rFonts w:ascii="Arial" w:hAnsi="Arial" w:cs="Arial"/>
          <w:sz w:val="20"/>
          <w:szCs w:val="20"/>
        </w:rPr>
        <w:t xml:space="preserve"> p32</w:t>
      </w:r>
    </w:p>
  </w:footnote>
  <w:footnote w:id="13">
    <w:p w14:paraId="423BD613" w14:textId="7C1CE9BC" w:rsidR="00375CDE" w:rsidRPr="00375CDE" w:rsidRDefault="00375CDE">
      <w:pPr>
        <w:pStyle w:val="FootnoteText"/>
        <w:rPr>
          <w:lang w:val="en-GB"/>
        </w:rPr>
      </w:pPr>
      <w:r>
        <w:rPr>
          <w:rStyle w:val="FootnoteReference"/>
        </w:rPr>
        <w:footnoteRef/>
      </w:r>
      <w:r>
        <w:t xml:space="preserve"> </w:t>
      </w:r>
      <w:hyperlink r:id="rId10" w:history="1">
        <w:r>
          <w:rPr>
            <w:rStyle w:val="Hyperlink"/>
          </w:rPr>
          <w:t>niccy-still-waiting-report-sept-18-web.pdf</w:t>
        </w:r>
      </w:hyperlink>
      <w:r>
        <w:t xml:space="preserve"> </w:t>
      </w:r>
      <w:r w:rsidRPr="00375CDE">
        <w:rPr>
          <w:rFonts w:ascii="Arial" w:hAnsi="Arial" w:cs="Arial"/>
          <w:sz w:val="20"/>
          <w:szCs w:val="20"/>
        </w:rPr>
        <w:t>p158-159.</w:t>
      </w:r>
    </w:p>
  </w:footnote>
  <w:footnote w:id="14">
    <w:p w14:paraId="13D10B32" w14:textId="37A39DB4" w:rsidR="001B3CA7" w:rsidRPr="001B3CA7" w:rsidRDefault="001B3CA7">
      <w:pPr>
        <w:pStyle w:val="FootnoteText"/>
        <w:rPr>
          <w:lang w:val="en-GB"/>
        </w:rPr>
      </w:pPr>
      <w:r>
        <w:rPr>
          <w:rStyle w:val="FootnoteReference"/>
        </w:rPr>
        <w:footnoteRef/>
      </w:r>
      <w:r>
        <w:t xml:space="preserve"> </w:t>
      </w:r>
      <w:hyperlink r:id="rId11" w:history="1">
        <w:r w:rsidRPr="001B3CA7">
          <w:rPr>
            <w:rStyle w:val="Hyperlink"/>
            <w:rFonts w:ascii="Arial" w:hAnsi="Arial" w:cs="Arial"/>
            <w:sz w:val="20"/>
            <w:szCs w:val="20"/>
          </w:rPr>
          <w:t>niccy-still-waiting-report-sept-18-web.pdf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6232CD" w14:paraId="2625EFA4" w14:textId="77777777" w:rsidTr="000D52AB">
      <w:tc>
        <w:tcPr>
          <w:tcW w:w="5027" w:type="dxa"/>
          <w:shd w:val="clear" w:color="auto" w:fill="auto"/>
        </w:tcPr>
        <w:p w14:paraId="0342BA4D" w14:textId="77777777" w:rsidR="006232CD" w:rsidRDefault="006232CD" w:rsidP="000D52AB">
          <w:pPr>
            <w:pStyle w:val="CompanyName"/>
            <w:rPr>
              <w:rFonts w:ascii="Futura Book" w:hAnsi="Futura Book" w:cs="Arial"/>
              <w:lang w:val="en-GB"/>
            </w:rPr>
          </w:pPr>
        </w:p>
      </w:tc>
      <w:tc>
        <w:tcPr>
          <w:tcW w:w="4855" w:type="dxa"/>
          <w:shd w:val="clear" w:color="auto" w:fill="auto"/>
        </w:tcPr>
        <w:p w14:paraId="31F1D931" w14:textId="77777777" w:rsidR="006232CD" w:rsidRDefault="006232CD" w:rsidP="000D52AB">
          <w:pPr>
            <w:pStyle w:val="CompanyName"/>
            <w:rPr>
              <w:rFonts w:ascii="Futura Book" w:hAnsi="Futura Book" w:cs="Arial"/>
              <w:lang w:val="en-GB"/>
            </w:rPr>
          </w:pPr>
        </w:p>
      </w:tc>
    </w:tr>
  </w:tbl>
  <w:p w14:paraId="186731F5" w14:textId="77777777" w:rsidR="006232CD" w:rsidRDefault="006232CD">
    <w:pPr>
      <w:pStyle w:val="Header"/>
    </w:pPr>
    <w:r>
      <w:rPr>
        <w:rFonts w:ascii="Futura Book" w:hAnsi="Futura Book" w:cs="Arial"/>
        <w:noProof/>
        <w:lang w:val="en-GB" w:eastAsia="en-GB"/>
      </w:rPr>
      <w:drawing>
        <wp:anchor distT="0" distB="0" distL="114300" distR="114300" simplePos="0" relativeHeight="251656704" behindDoc="0" locked="0" layoutInCell="1" allowOverlap="1" wp14:anchorId="543E3631" wp14:editId="71B1D4BC">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p w14:paraId="49F45381" w14:textId="77777777" w:rsidR="006232CD" w:rsidRDefault="006232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CC9"/>
    <w:multiLevelType w:val="hybridMultilevel"/>
    <w:tmpl w:val="1EFCF49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BAC7EBC"/>
    <w:multiLevelType w:val="hybridMultilevel"/>
    <w:tmpl w:val="784C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6309F"/>
    <w:multiLevelType w:val="hybridMultilevel"/>
    <w:tmpl w:val="26528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D6172"/>
    <w:multiLevelType w:val="hybridMultilevel"/>
    <w:tmpl w:val="F9B8A1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1E076C"/>
    <w:multiLevelType w:val="hybridMultilevel"/>
    <w:tmpl w:val="D4B4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20F86"/>
    <w:multiLevelType w:val="hybridMultilevel"/>
    <w:tmpl w:val="87C0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F678D"/>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C5E6E73"/>
    <w:multiLevelType w:val="hybridMultilevel"/>
    <w:tmpl w:val="90BA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1251A"/>
    <w:multiLevelType w:val="hybridMultilevel"/>
    <w:tmpl w:val="90BA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57F89"/>
    <w:multiLevelType w:val="hybridMultilevel"/>
    <w:tmpl w:val="066A8E1A"/>
    <w:lvl w:ilvl="0" w:tplc="63065024">
      <w:start w:val="1"/>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6401BC5"/>
    <w:multiLevelType w:val="hybridMultilevel"/>
    <w:tmpl w:val="3C2E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5100A"/>
    <w:multiLevelType w:val="hybridMultilevel"/>
    <w:tmpl w:val="80140410"/>
    <w:lvl w:ilvl="0" w:tplc="00D8C552">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F660E3"/>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9" w15:restartNumberingAfterBreak="0">
    <w:nsid w:val="37D520D0"/>
    <w:multiLevelType w:val="hybridMultilevel"/>
    <w:tmpl w:val="B322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F42B8"/>
    <w:multiLevelType w:val="hybridMultilevel"/>
    <w:tmpl w:val="A0C4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2" w15:restartNumberingAfterBreak="0">
    <w:nsid w:val="3FDA608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EF56ED"/>
    <w:multiLevelType w:val="hybridMultilevel"/>
    <w:tmpl w:val="1744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61E16"/>
    <w:multiLevelType w:val="hybridMultilevel"/>
    <w:tmpl w:val="CFA6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28" w15:restartNumberingAfterBreak="0">
    <w:nsid w:val="480F2784"/>
    <w:multiLevelType w:val="hybridMultilevel"/>
    <w:tmpl w:val="8CE6B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123849"/>
    <w:multiLevelType w:val="hybridMultilevel"/>
    <w:tmpl w:val="0050435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0" w15:restartNumberingAfterBreak="0">
    <w:nsid w:val="50C97ED5"/>
    <w:multiLevelType w:val="hybridMultilevel"/>
    <w:tmpl w:val="FBEC3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827AD"/>
    <w:multiLevelType w:val="hybridMultilevel"/>
    <w:tmpl w:val="DD76BC2E"/>
    <w:lvl w:ilvl="0" w:tplc="D42637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B90E9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1675170"/>
    <w:multiLevelType w:val="hybridMultilevel"/>
    <w:tmpl w:val="04D0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8578D"/>
    <w:multiLevelType w:val="hybridMultilevel"/>
    <w:tmpl w:val="779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10836"/>
    <w:multiLevelType w:val="hybridMultilevel"/>
    <w:tmpl w:val="58FAF7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7"/>
  </w:num>
  <w:num w:numId="2">
    <w:abstractNumId w:val="3"/>
  </w:num>
  <w:num w:numId="3">
    <w:abstractNumId w:val="12"/>
  </w:num>
  <w:num w:numId="4">
    <w:abstractNumId w:val="32"/>
  </w:num>
  <w:num w:numId="5">
    <w:abstractNumId w:val="2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3"/>
  </w:num>
  <w:num w:numId="9">
    <w:abstractNumId w:val="16"/>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2"/>
  </w:num>
  <w:num w:numId="17">
    <w:abstractNumId w:val="8"/>
  </w:num>
  <w:num w:numId="18">
    <w:abstractNumId w:val="10"/>
  </w:num>
  <w:num w:numId="19">
    <w:abstractNumId w:val="7"/>
  </w:num>
  <w:num w:numId="20">
    <w:abstractNumId w:val="35"/>
  </w:num>
  <w:num w:numId="21">
    <w:abstractNumId w:val="11"/>
  </w:num>
  <w:num w:numId="22">
    <w:abstractNumId w:val="19"/>
  </w:num>
  <w:num w:numId="23">
    <w:abstractNumId w:val="36"/>
  </w:num>
  <w:num w:numId="24">
    <w:abstractNumId w:val="24"/>
  </w:num>
  <w:num w:numId="25">
    <w:abstractNumId w:val="26"/>
  </w:num>
  <w:num w:numId="26">
    <w:abstractNumId w:val="4"/>
  </w:num>
  <w:num w:numId="27">
    <w:abstractNumId w:val="29"/>
  </w:num>
  <w:num w:numId="28">
    <w:abstractNumId w:val="0"/>
  </w:num>
  <w:num w:numId="29">
    <w:abstractNumId w:val="38"/>
  </w:num>
  <w:num w:numId="30">
    <w:abstractNumId w:val="20"/>
  </w:num>
  <w:num w:numId="31">
    <w:abstractNumId w:val="14"/>
  </w:num>
  <w:num w:numId="32">
    <w:abstractNumId w:val="2"/>
  </w:num>
  <w:num w:numId="33">
    <w:abstractNumId w:val="6"/>
  </w:num>
  <w:num w:numId="34">
    <w:abstractNumId w:val="30"/>
  </w:num>
  <w:num w:numId="35">
    <w:abstractNumId w:val="28"/>
  </w:num>
  <w:num w:numId="36">
    <w:abstractNumId w:val="13"/>
  </w:num>
  <w:num w:numId="37">
    <w:abstractNumId w:val="13"/>
  </w:num>
  <w:num w:numId="38">
    <w:abstractNumId w:val="5"/>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154F3"/>
    <w:rsid w:val="00021ACB"/>
    <w:rsid w:val="000251AE"/>
    <w:rsid w:val="0003001F"/>
    <w:rsid w:val="0003468A"/>
    <w:rsid w:val="000373F4"/>
    <w:rsid w:val="00042336"/>
    <w:rsid w:val="0004498F"/>
    <w:rsid w:val="00045C17"/>
    <w:rsid w:val="00047124"/>
    <w:rsid w:val="0005296E"/>
    <w:rsid w:val="0006688F"/>
    <w:rsid w:val="00073292"/>
    <w:rsid w:val="00077312"/>
    <w:rsid w:val="000B7EA3"/>
    <w:rsid w:val="000C3AD9"/>
    <w:rsid w:val="000D289E"/>
    <w:rsid w:val="000D52AB"/>
    <w:rsid w:val="000F1BE2"/>
    <w:rsid w:val="000F3047"/>
    <w:rsid w:val="00103F13"/>
    <w:rsid w:val="001138C2"/>
    <w:rsid w:val="00115D8E"/>
    <w:rsid w:val="00115FB3"/>
    <w:rsid w:val="001160EC"/>
    <w:rsid w:val="00123577"/>
    <w:rsid w:val="00127101"/>
    <w:rsid w:val="00133C28"/>
    <w:rsid w:val="0014437C"/>
    <w:rsid w:val="00146491"/>
    <w:rsid w:val="00146C87"/>
    <w:rsid w:val="0015081F"/>
    <w:rsid w:val="00152C62"/>
    <w:rsid w:val="00154955"/>
    <w:rsid w:val="00161B60"/>
    <w:rsid w:val="0016572F"/>
    <w:rsid w:val="00172BBF"/>
    <w:rsid w:val="001816A2"/>
    <w:rsid w:val="0018273D"/>
    <w:rsid w:val="0018447B"/>
    <w:rsid w:val="00192A89"/>
    <w:rsid w:val="001936E2"/>
    <w:rsid w:val="00194555"/>
    <w:rsid w:val="0019693B"/>
    <w:rsid w:val="001A6D6A"/>
    <w:rsid w:val="001B2835"/>
    <w:rsid w:val="001B36BB"/>
    <w:rsid w:val="001B3CA7"/>
    <w:rsid w:val="001C270C"/>
    <w:rsid w:val="001C3B2C"/>
    <w:rsid w:val="001D2AA2"/>
    <w:rsid w:val="001D2C89"/>
    <w:rsid w:val="001E19C1"/>
    <w:rsid w:val="001F2C3A"/>
    <w:rsid w:val="001F4246"/>
    <w:rsid w:val="001F5A9E"/>
    <w:rsid w:val="001F6AB1"/>
    <w:rsid w:val="00214C3B"/>
    <w:rsid w:val="00221A5B"/>
    <w:rsid w:val="00227A46"/>
    <w:rsid w:val="002339A7"/>
    <w:rsid w:val="00241A07"/>
    <w:rsid w:val="00245432"/>
    <w:rsid w:val="00255887"/>
    <w:rsid w:val="00277E86"/>
    <w:rsid w:val="00280C3B"/>
    <w:rsid w:val="00291170"/>
    <w:rsid w:val="002A5FA0"/>
    <w:rsid w:val="002C058F"/>
    <w:rsid w:val="002C0CE2"/>
    <w:rsid w:val="002C722A"/>
    <w:rsid w:val="002E1271"/>
    <w:rsid w:val="002E64A8"/>
    <w:rsid w:val="002E6751"/>
    <w:rsid w:val="002F025E"/>
    <w:rsid w:val="002F30AB"/>
    <w:rsid w:val="002F6B87"/>
    <w:rsid w:val="00301B49"/>
    <w:rsid w:val="00304699"/>
    <w:rsid w:val="0030659F"/>
    <w:rsid w:val="00316CF3"/>
    <w:rsid w:val="00323B46"/>
    <w:rsid w:val="003246BD"/>
    <w:rsid w:val="00330DA6"/>
    <w:rsid w:val="003400A0"/>
    <w:rsid w:val="00341BA7"/>
    <w:rsid w:val="00345FA9"/>
    <w:rsid w:val="00350477"/>
    <w:rsid w:val="003514BD"/>
    <w:rsid w:val="003549DA"/>
    <w:rsid w:val="003566E1"/>
    <w:rsid w:val="00356F9B"/>
    <w:rsid w:val="00360D39"/>
    <w:rsid w:val="00367F1E"/>
    <w:rsid w:val="0037248B"/>
    <w:rsid w:val="00373146"/>
    <w:rsid w:val="00375CDE"/>
    <w:rsid w:val="00380E4F"/>
    <w:rsid w:val="00381502"/>
    <w:rsid w:val="00384CE2"/>
    <w:rsid w:val="00385663"/>
    <w:rsid w:val="0039206F"/>
    <w:rsid w:val="00395A92"/>
    <w:rsid w:val="00396D5E"/>
    <w:rsid w:val="003A78E8"/>
    <w:rsid w:val="003B4701"/>
    <w:rsid w:val="003B47EA"/>
    <w:rsid w:val="003D02FC"/>
    <w:rsid w:val="003F3682"/>
    <w:rsid w:val="003F5501"/>
    <w:rsid w:val="003F7EEC"/>
    <w:rsid w:val="00405836"/>
    <w:rsid w:val="00432B30"/>
    <w:rsid w:val="004342F4"/>
    <w:rsid w:val="00443A38"/>
    <w:rsid w:val="00444763"/>
    <w:rsid w:val="0044499B"/>
    <w:rsid w:val="00444C46"/>
    <w:rsid w:val="00450E2B"/>
    <w:rsid w:val="00451456"/>
    <w:rsid w:val="00455424"/>
    <w:rsid w:val="00460794"/>
    <w:rsid w:val="00465457"/>
    <w:rsid w:val="004666E5"/>
    <w:rsid w:val="0046673C"/>
    <w:rsid w:val="004722C4"/>
    <w:rsid w:val="0048475E"/>
    <w:rsid w:val="00484A18"/>
    <w:rsid w:val="004A2A7D"/>
    <w:rsid w:val="004A5379"/>
    <w:rsid w:val="004B2276"/>
    <w:rsid w:val="004C026E"/>
    <w:rsid w:val="004C66D8"/>
    <w:rsid w:val="004D1F5D"/>
    <w:rsid w:val="004D590C"/>
    <w:rsid w:val="004E5BD9"/>
    <w:rsid w:val="004E7D28"/>
    <w:rsid w:val="0050043B"/>
    <w:rsid w:val="00512C7C"/>
    <w:rsid w:val="0051606B"/>
    <w:rsid w:val="00516753"/>
    <w:rsid w:val="005201C2"/>
    <w:rsid w:val="00520E26"/>
    <w:rsid w:val="00521A34"/>
    <w:rsid w:val="00524D8A"/>
    <w:rsid w:val="0052507D"/>
    <w:rsid w:val="00530E51"/>
    <w:rsid w:val="00540922"/>
    <w:rsid w:val="00545663"/>
    <w:rsid w:val="0055267D"/>
    <w:rsid w:val="0055275C"/>
    <w:rsid w:val="00553E26"/>
    <w:rsid w:val="00555682"/>
    <w:rsid w:val="00564A69"/>
    <w:rsid w:val="00571721"/>
    <w:rsid w:val="00573BAD"/>
    <w:rsid w:val="00573CC5"/>
    <w:rsid w:val="00577C35"/>
    <w:rsid w:val="005809C6"/>
    <w:rsid w:val="00581742"/>
    <w:rsid w:val="00584D46"/>
    <w:rsid w:val="00590EE3"/>
    <w:rsid w:val="0059508C"/>
    <w:rsid w:val="00596700"/>
    <w:rsid w:val="00597B67"/>
    <w:rsid w:val="005A21F4"/>
    <w:rsid w:val="005B626C"/>
    <w:rsid w:val="005B742A"/>
    <w:rsid w:val="005B78ED"/>
    <w:rsid w:val="005C3C74"/>
    <w:rsid w:val="005C425F"/>
    <w:rsid w:val="005D0011"/>
    <w:rsid w:val="005D0D3C"/>
    <w:rsid w:val="005E1541"/>
    <w:rsid w:val="005E3A4E"/>
    <w:rsid w:val="005F2BFA"/>
    <w:rsid w:val="005F2D67"/>
    <w:rsid w:val="005F3FA4"/>
    <w:rsid w:val="005F4B63"/>
    <w:rsid w:val="006013F5"/>
    <w:rsid w:val="006017E5"/>
    <w:rsid w:val="006232CD"/>
    <w:rsid w:val="00625972"/>
    <w:rsid w:val="0062787C"/>
    <w:rsid w:val="00640853"/>
    <w:rsid w:val="00641FE0"/>
    <w:rsid w:val="00645C65"/>
    <w:rsid w:val="0064685C"/>
    <w:rsid w:val="006476A0"/>
    <w:rsid w:val="006511A7"/>
    <w:rsid w:val="00656BAA"/>
    <w:rsid w:val="00672777"/>
    <w:rsid w:val="00674AAD"/>
    <w:rsid w:val="00674BD2"/>
    <w:rsid w:val="006837DF"/>
    <w:rsid w:val="00691F0A"/>
    <w:rsid w:val="006A2CFA"/>
    <w:rsid w:val="006A5B4D"/>
    <w:rsid w:val="006A7A9C"/>
    <w:rsid w:val="006B26BA"/>
    <w:rsid w:val="006B6A27"/>
    <w:rsid w:val="006B6E33"/>
    <w:rsid w:val="006C2566"/>
    <w:rsid w:val="006C6815"/>
    <w:rsid w:val="006D5DF1"/>
    <w:rsid w:val="006E402E"/>
    <w:rsid w:val="006E404C"/>
    <w:rsid w:val="006E5BA5"/>
    <w:rsid w:val="006E690F"/>
    <w:rsid w:val="00700B4E"/>
    <w:rsid w:val="0070445D"/>
    <w:rsid w:val="007215F3"/>
    <w:rsid w:val="00727D62"/>
    <w:rsid w:val="0073456D"/>
    <w:rsid w:val="007428D4"/>
    <w:rsid w:val="007460FE"/>
    <w:rsid w:val="0075519F"/>
    <w:rsid w:val="007576C8"/>
    <w:rsid w:val="0076018E"/>
    <w:rsid w:val="00766453"/>
    <w:rsid w:val="00771CF5"/>
    <w:rsid w:val="007739E7"/>
    <w:rsid w:val="00777593"/>
    <w:rsid w:val="00781343"/>
    <w:rsid w:val="007814AF"/>
    <w:rsid w:val="00791E93"/>
    <w:rsid w:val="0079393E"/>
    <w:rsid w:val="00795FEB"/>
    <w:rsid w:val="007A29DC"/>
    <w:rsid w:val="007A5E2D"/>
    <w:rsid w:val="007A73EC"/>
    <w:rsid w:val="007B49F0"/>
    <w:rsid w:val="007B4ABD"/>
    <w:rsid w:val="007C3D69"/>
    <w:rsid w:val="007C4536"/>
    <w:rsid w:val="007C51C2"/>
    <w:rsid w:val="007D05CE"/>
    <w:rsid w:val="007D3E38"/>
    <w:rsid w:val="007D6D9C"/>
    <w:rsid w:val="007E6A2F"/>
    <w:rsid w:val="00803C1D"/>
    <w:rsid w:val="008069C4"/>
    <w:rsid w:val="00806DA3"/>
    <w:rsid w:val="00807BE0"/>
    <w:rsid w:val="00825CC6"/>
    <w:rsid w:val="00831BDB"/>
    <w:rsid w:val="00834203"/>
    <w:rsid w:val="00847321"/>
    <w:rsid w:val="00847527"/>
    <w:rsid w:val="00861A1A"/>
    <w:rsid w:val="0086289C"/>
    <w:rsid w:val="00866FDB"/>
    <w:rsid w:val="00870403"/>
    <w:rsid w:val="00871B2B"/>
    <w:rsid w:val="00871F7B"/>
    <w:rsid w:val="00873EBD"/>
    <w:rsid w:val="00892462"/>
    <w:rsid w:val="008A06AF"/>
    <w:rsid w:val="008A227C"/>
    <w:rsid w:val="008A31A5"/>
    <w:rsid w:val="008A32FE"/>
    <w:rsid w:val="008A53C2"/>
    <w:rsid w:val="008A6233"/>
    <w:rsid w:val="008A6EBC"/>
    <w:rsid w:val="008B7D27"/>
    <w:rsid w:val="008C32B9"/>
    <w:rsid w:val="008E1CDA"/>
    <w:rsid w:val="008E339F"/>
    <w:rsid w:val="008E3945"/>
    <w:rsid w:val="008E6828"/>
    <w:rsid w:val="008E6CC3"/>
    <w:rsid w:val="008E7136"/>
    <w:rsid w:val="008F2937"/>
    <w:rsid w:val="008F3CE6"/>
    <w:rsid w:val="00901326"/>
    <w:rsid w:val="00904F94"/>
    <w:rsid w:val="009108C4"/>
    <w:rsid w:val="00915950"/>
    <w:rsid w:val="009214B0"/>
    <w:rsid w:val="00921BED"/>
    <w:rsid w:val="00922D1F"/>
    <w:rsid w:val="00923CF2"/>
    <w:rsid w:val="0093423B"/>
    <w:rsid w:val="00936207"/>
    <w:rsid w:val="0093648A"/>
    <w:rsid w:val="009405BC"/>
    <w:rsid w:val="00953138"/>
    <w:rsid w:val="00954CE3"/>
    <w:rsid w:val="0096333F"/>
    <w:rsid w:val="00963E12"/>
    <w:rsid w:val="00964715"/>
    <w:rsid w:val="009675A2"/>
    <w:rsid w:val="0097733A"/>
    <w:rsid w:val="00982039"/>
    <w:rsid w:val="00982074"/>
    <w:rsid w:val="009926CB"/>
    <w:rsid w:val="00993AE3"/>
    <w:rsid w:val="0099401C"/>
    <w:rsid w:val="00997799"/>
    <w:rsid w:val="009A5DED"/>
    <w:rsid w:val="009C394B"/>
    <w:rsid w:val="009C5C8F"/>
    <w:rsid w:val="009D4468"/>
    <w:rsid w:val="009D7102"/>
    <w:rsid w:val="009E095A"/>
    <w:rsid w:val="009E6D40"/>
    <w:rsid w:val="009F0EAC"/>
    <w:rsid w:val="009F2391"/>
    <w:rsid w:val="009F79BE"/>
    <w:rsid w:val="00A003BC"/>
    <w:rsid w:val="00A024FA"/>
    <w:rsid w:val="00A03AF5"/>
    <w:rsid w:val="00A11C2B"/>
    <w:rsid w:val="00A13398"/>
    <w:rsid w:val="00A136AA"/>
    <w:rsid w:val="00A14441"/>
    <w:rsid w:val="00A147A1"/>
    <w:rsid w:val="00A14B0B"/>
    <w:rsid w:val="00A1728A"/>
    <w:rsid w:val="00A31532"/>
    <w:rsid w:val="00A32563"/>
    <w:rsid w:val="00A40A8E"/>
    <w:rsid w:val="00A4255B"/>
    <w:rsid w:val="00A42BD9"/>
    <w:rsid w:val="00A53D00"/>
    <w:rsid w:val="00A61804"/>
    <w:rsid w:val="00A64861"/>
    <w:rsid w:val="00A64A71"/>
    <w:rsid w:val="00A65466"/>
    <w:rsid w:val="00A6686B"/>
    <w:rsid w:val="00A72F8A"/>
    <w:rsid w:val="00A77C35"/>
    <w:rsid w:val="00A84806"/>
    <w:rsid w:val="00A85DDA"/>
    <w:rsid w:val="00A868C6"/>
    <w:rsid w:val="00A87D1B"/>
    <w:rsid w:val="00A914C1"/>
    <w:rsid w:val="00A933DA"/>
    <w:rsid w:val="00A94CD4"/>
    <w:rsid w:val="00AA17C7"/>
    <w:rsid w:val="00AB084E"/>
    <w:rsid w:val="00AB2B6E"/>
    <w:rsid w:val="00AB436C"/>
    <w:rsid w:val="00AB5744"/>
    <w:rsid w:val="00AC6036"/>
    <w:rsid w:val="00AD3E68"/>
    <w:rsid w:val="00AE3123"/>
    <w:rsid w:val="00AF26E8"/>
    <w:rsid w:val="00AF6C9C"/>
    <w:rsid w:val="00B0114A"/>
    <w:rsid w:val="00B07F4F"/>
    <w:rsid w:val="00B268A2"/>
    <w:rsid w:val="00B2787E"/>
    <w:rsid w:val="00B37BEC"/>
    <w:rsid w:val="00B420B8"/>
    <w:rsid w:val="00B42783"/>
    <w:rsid w:val="00B428AC"/>
    <w:rsid w:val="00B50701"/>
    <w:rsid w:val="00B52398"/>
    <w:rsid w:val="00B5453C"/>
    <w:rsid w:val="00B54CAE"/>
    <w:rsid w:val="00B779C7"/>
    <w:rsid w:val="00B864A6"/>
    <w:rsid w:val="00BA0FF0"/>
    <w:rsid w:val="00BB0128"/>
    <w:rsid w:val="00BB603F"/>
    <w:rsid w:val="00BC4DDC"/>
    <w:rsid w:val="00BC6676"/>
    <w:rsid w:val="00BC7090"/>
    <w:rsid w:val="00BC793E"/>
    <w:rsid w:val="00BD092E"/>
    <w:rsid w:val="00BD7CF0"/>
    <w:rsid w:val="00BE0052"/>
    <w:rsid w:val="00BE3874"/>
    <w:rsid w:val="00BF0E9D"/>
    <w:rsid w:val="00BF1F4D"/>
    <w:rsid w:val="00C00DBC"/>
    <w:rsid w:val="00C06BD6"/>
    <w:rsid w:val="00C13B84"/>
    <w:rsid w:val="00C1631E"/>
    <w:rsid w:val="00C24A01"/>
    <w:rsid w:val="00C353A1"/>
    <w:rsid w:val="00C51872"/>
    <w:rsid w:val="00C54054"/>
    <w:rsid w:val="00C60108"/>
    <w:rsid w:val="00C749C1"/>
    <w:rsid w:val="00C8006C"/>
    <w:rsid w:val="00C8126E"/>
    <w:rsid w:val="00C814E5"/>
    <w:rsid w:val="00C914BF"/>
    <w:rsid w:val="00C96C89"/>
    <w:rsid w:val="00C96DAE"/>
    <w:rsid w:val="00C97EFD"/>
    <w:rsid w:val="00CA1930"/>
    <w:rsid w:val="00CA3013"/>
    <w:rsid w:val="00CB3758"/>
    <w:rsid w:val="00CB6F90"/>
    <w:rsid w:val="00CB79F0"/>
    <w:rsid w:val="00CC5F3F"/>
    <w:rsid w:val="00CC6013"/>
    <w:rsid w:val="00CF02FF"/>
    <w:rsid w:val="00CF1E19"/>
    <w:rsid w:val="00CF4279"/>
    <w:rsid w:val="00D245F5"/>
    <w:rsid w:val="00D3056D"/>
    <w:rsid w:val="00D40B61"/>
    <w:rsid w:val="00D42788"/>
    <w:rsid w:val="00D50736"/>
    <w:rsid w:val="00D60DE1"/>
    <w:rsid w:val="00D67B38"/>
    <w:rsid w:val="00D7457B"/>
    <w:rsid w:val="00D74B54"/>
    <w:rsid w:val="00D75E05"/>
    <w:rsid w:val="00D7661C"/>
    <w:rsid w:val="00D81956"/>
    <w:rsid w:val="00D9096C"/>
    <w:rsid w:val="00D94E0A"/>
    <w:rsid w:val="00D97767"/>
    <w:rsid w:val="00DB4DB2"/>
    <w:rsid w:val="00DB7E5C"/>
    <w:rsid w:val="00DC1E09"/>
    <w:rsid w:val="00DC3547"/>
    <w:rsid w:val="00DD3FAE"/>
    <w:rsid w:val="00DD6ACF"/>
    <w:rsid w:val="00DE08BF"/>
    <w:rsid w:val="00DE0E7E"/>
    <w:rsid w:val="00DE48CA"/>
    <w:rsid w:val="00DF20BC"/>
    <w:rsid w:val="00DF41C7"/>
    <w:rsid w:val="00E006C5"/>
    <w:rsid w:val="00E03550"/>
    <w:rsid w:val="00E03CDC"/>
    <w:rsid w:val="00E06FBD"/>
    <w:rsid w:val="00E23BA4"/>
    <w:rsid w:val="00E27D03"/>
    <w:rsid w:val="00E33096"/>
    <w:rsid w:val="00E365C9"/>
    <w:rsid w:val="00E403BC"/>
    <w:rsid w:val="00E4182A"/>
    <w:rsid w:val="00E614AC"/>
    <w:rsid w:val="00E70A0B"/>
    <w:rsid w:val="00E74BA7"/>
    <w:rsid w:val="00E760EA"/>
    <w:rsid w:val="00E84291"/>
    <w:rsid w:val="00E852FA"/>
    <w:rsid w:val="00EA1820"/>
    <w:rsid w:val="00EA4654"/>
    <w:rsid w:val="00EA55B7"/>
    <w:rsid w:val="00EB014A"/>
    <w:rsid w:val="00EB3C3F"/>
    <w:rsid w:val="00EB4483"/>
    <w:rsid w:val="00EB685F"/>
    <w:rsid w:val="00EC0410"/>
    <w:rsid w:val="00EC4D38"/>
    <w:rsid w:val="00EC54CA"/>
    <w:rsid w:val="00EC7E84"/>
    <w:rsid w:val="00ED7219"/>
    <w:rsid w:val="00ED775A"/>
    <w:rsid w:val="00EE0D0D"/>
    <w:rsid w:val="00EE1F8F"/>
    <w:rsid w:val="00EE2F25"/>
    <w:rsid w:val="00EE5D9A"/>
    <w:rsid w:val="00EE7186"/>
    <w:rsid w:val="00EE7908"/>
    <w:rsid w:val="00EF0161"/>
    <w:rsid w:val="00EF0949"/>
    <w:rsid w:val="00EF62E7"/>
    <w:rsid w:val="00F02198"/>
    <w:rsid w:val="00F034A2"/>
    <w:rsid w:val="00F03E4A"/>
    <w:rsid w:val="00F074C3"/>
    <w:rsid w:val="00F15D92"/>
    <w:rsid w:val="00F23F14"/>
    <w:rsid w:val="00F460D6"/>
    <w:rsid w:val="00F51DFB"/>
    <w:rsid w:val="00F53DA6"/>
    <w:rsid w:val="00F7116F"/>
    <w:rsid w:val="00F814E4"/>
    <w:rsid w:val="00F903BC"/>
    <w:rsid w:val="00F91A84"/>
    <w:rsid w:val="00F943AC"/>
    <w:rsid w:val="00F96C46"/>
    <w:rsid w:val="00F97B2D"/>
    <w:rsid w:val="00FA08F5"/>
    <w:rsid w:val="00FA6E4F"/>
    <w:rsid w:val="00FA772C"/>
    <w:rsid w:val="00FA78DE"/>
    <w:rsid w:val="00FB06E5"/>
    <w:rsid w:val="00FB2ADD"/>
    <w:rsid w:val="00FB72B1"/>
    <w:rsid w:val="00FC2C13"/>
    <w:rsid w:val="00FD283F"/>
    <w:rsid w:val="00FD6FC0"/>
    <w:rsid w:val="00FE11EC"/>
    <w:rsid w:val="00FE3296"/>
    <w:rsid w:val="00FE5B6C"/>
    <w:rsid w:val="00FF14F1"/>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30A5B"/>
  <w15:docId w15:val="{7D4F0DBC-863B-4887-BC96-6925CF9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360D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0D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 Char"/>
    <w:basedOn w:val="Normal"/>
    <w:link w:val="FootnoteTextChar"/>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Char Char"/>
    <w:basedOn w:val="DefaultParagraphFont"/>
    <w:link w:val="FootnoteText"/>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563C1"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Heading2Char">
    <w:name w:val="Heading 2 Char"/>
    <w:basedOn w:val="DefaultParagraphFont"/>
    <w:link w:val="Heading2"/>
    <w:uiPriority w:val="9"/>
    <w:semiHidden/>
    <w:rsid w:val="00360D39"/>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360D39"/>
    <w:rPr>
      <w:rFonts w:asciiTheme="majorHAnsi" w:eastAsiaTheme="majorEastAsia" w:hAnsiTheme="majorHAnsi" w:cstheme="majorBidi"/>
      <w:color w:val="1F4D78" w:themeColor="accent1" w:themeShade="7F"/>
      <w:lang w:val="en-GB"/>
    </w:rPr>
  </w:style>
  <w:style w:type="paragraph" w:customStyle="1" w:styleId="yiv2257994374niccyheading">
    <w:name w:val="yiv2257994374niccyheading"/>
    <w:basedOn w:val="Normal"/>
    <w:rsid w:val="006D5DF1"/>
    <w:pPr>
      <w:spacing w:before="100" w:beforeAutospacing="1" w:after="100" w:afterAutospacing="1"/>
    </w:pPr>
    <w:rPr>
      <w:sz w:val="24"/>
      <w:szCs w:val="24"/>
      <w:lang w:eastAsia="en-GB"/>
    </w:rPr>
  </w:style>
  <w:style w:type="paragraph" w:customStyle="1" w:styleId="NICCYBodyTest">
    <w:name w:val="NICCY Body Test"/>
    <w:basedOn w:val="Normal"/>
    <w:link w:val="NICCYBodyTestChar"/>
    <w:qFormat/>
    <w:rsid w:val="006D5DF1"/>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6D5DF1"/>
    <w:rPr>
      <w:rFonts w:ascii="Arial" w:hAnsi="Arial" w:cs="Arial"/>
      <w:color w:val="414042"/>
      <w:lang w:val="en-GB"/>
    </w:rPr>
  </w:style>
  <w:style w:type="character" w:styleId="FollowedHyperlink">
    <w:name w:val="FollowedHyperlink"/>
    <w:basedOn w:val="DefaultParagraphFont"/>
    <w:uiPriority w:val="99"/>
    <w:semiHidden/>
    <w:unhideWhenUsed/>
    <w:rsid w:val="00982074"/>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4C66D8"/>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07BE0"/>
    <w:rPr>
      <w:sz w:val="16"/>
      <w:szCs w:val="16"/>
    </w:rPr>
  </w:style>
  <w:style w:type="paragraph" w:styleId="CommentText">
    <w:name w:val="annotation text"/>
    <w:basedOn w:val="Normal"/>
    <w:link w:val="CommentTextChar"/>
    <w:uiPriority w:val="99"/>
    <w:unhideWhenUsed/>
    <w:rsid w:val="00807BE0"/>
  </w:style>
  <w:style w:type="character" w:customStyle="1" w:styleId="CommentTextChar">
    <w:name w:val="Comment Text Char"/>
    <w:basedOn w:val="DefaultParagraphFont"/>
    <w:link w:val="CommentText"/>
    <w:uiPriority w:val="99"/>
    <w:rsid w:val="00807B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9401C"/>
    <w:rPr>
      <w:b/>
      <w:bCs/>
    </w:rPr>
  </w:style>
  <w:style w:type="character" w:customStyle="1" w:styleId="CommentSubjectChar">
    <w:name w:val="Comment Subject Char"/>
    <w:basedOn w:val="CommentTextChar"/>
    <w:link w:val="CommentSubject"/>
    <w:uiPriority w:val="99"/>
    <w:semiHidden/>
    <w:rsid w:val="0099401C"/>
    <w:rPr>
      <w:rFonts w:ascii="Times New Roman" w:eastAsia="Times New Roman" w:hAnsi="Times New Roman" w:cs="Times New Roman"/>
      <w:b/>
      <w:bCs/>
      <w:sz w:val="20"/>
      <w:szCs w:val="20"/>
      <w:lang w:val="en-GB"/>
    </w:rPr>
  </w:style>
  <w:style w:type="paragraph" w:styleId="Revision">
    <w:name w:val="Revision"/>
    <w:hidden/>
    <w:uiPriority w:val="99"/>
    <w:semiHidden/>
    <w:rsid w:val="00BF1F4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0315">
      <w:bodyDiv w:val="1"/>
      <w:marLeft w:val="0"/>
      <w:marRight w:val="0"/>
      <w:marTop w:val="0"/>
      <w:marBottom w:val="0"/>
      <w:divBdr>
        <w:top w:val="none" w:sz="0" w:space="0" w:color="auto"/>
        <w:left w:val="none" w:sz="0" w:space="0" w:color="auto"/>
        <w:bottom w:val="none" w:sz="0" w:space="0" w:color="auto"/>
        <w:right w:val="none" w:sz="0" w:space="0" w:color="auto"/>
      </w:divBdr>
    </w:div>
    <w:div w:id="189026613">
      <w:bodyDiv w:val="1"/>
      <w:marLeft w:val="0"/>
      <w:marRight w:val="0"/>
      <w:marTop w:val="0"/>
      <w:marBottom w:val="0"/>
      <w:divBdr>
        <w:top w:val="none" w:sz="0" w:space="0" w:color="auto"/>
        <w:left w:val="none" w:sz="0" w:space="0" w:color="auto"/>
        <w:bottom w:val="none" w:sz="0" w:space="0" w:color="auto"/>
        <w:right w:val="none" w:sz="0" w:space="0" w:color="auto"/>
      </w:divBdr>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8327754">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48538116">
      <w:bodyDiv w:val="1"/>
      <w:marLeft w:val="0"/>
      <w:marRight w:val="0"/>
      <w:marTop w:val="0"/>
      <w:marBottom w:val="0"/>
      <w:divBdr>
        <w:top w:val="none" w:sz="0" w:space="0" w:color="auto"/>
        <w:left w:val="none" w:sz="0" w:space="0" w:color="auto"/>
        <w:bottom w:val="none" w:sz="0" w:space="0" w:color="auto"/>
        <w:right w:val="none" w:sz="0" w:space="0" w:color="auto"/>
      </w:divBdr>
    </w:div>
    <w:div w:id="330261755">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 w:id="660156694">
      <w:bodyDiv w:val="1"/>
      <w:marLeft w:val="0"/>
      <w:marRight w:val="0"/>
      <w:marTop w:val="0"/>
      <w:marBottom w:val="0"/>
      <w:divBdr>
        <w:top w:val="none" w:sz="0" w:space="0" w:color="auto"/>
        <w:left w:val="none" w:sz="0" w:space="0" w:color="auto"/>
        <w:bottom w:val="none" w:sz="0" w:space="0" w:color="auto"/>
        <w:right w:val="none" w:sz="0" w:space="0" w:color="auto"/>
      </w:divBdr>
    </w:div>
    <w:div w:id="677657035">
      <w:bodyDiv w:val="1"/>
      <w:marLeft w:val="0"/>
      <w:marRight w:val="0"/>
      <w:marTop w:val="0"/>
      <w:marBottom w:val="0"/>
      <w:divBdr>
        <w:top w:val="none" w:sz="0" w:space="0" w:color="auto"/>
        <w:left w:val="none" w:sz="0" w:space="0" w:color="auto"/>
        <w:bottom w:val="none" w:sz="0" w:space="0" w:color="auto"/>
        <w:right w:val="none" w:sz="0" w:space="0" w:color="auto"/>
      </w:divBdr>
    </w:div>
    <w:div w:id="991056538">
      <w:bodyDiv w:val="1"/>
      <w:marLeft w:val="0"/>
      <w:marRight w:val="0"/>
      <w:marTop w:val="0"/>
      <w:marBottom w:val="0"/>
      <w:divBdr>
        <w:top w:val="none" w:sz="0" w:space="0" w:color="auto"/>
        <w:left w:val="none" w:sz="0" w:space="0" w:color="auto"/>
        <w:bottom w:val="none" w:sz="0" w:space="0" w:color="auto"/>
        <w:right w:val="none" w:sz="0" w:space="0" w:color="auto"/>
      </w:divBdr>
    </w:div>
    <w:div w:id="1267928231">
      <w:bodyDiv w:val="1"/>
      <w:marLeft w:val="0"/>
      <w:marRight w:val="0"/>
      <w:marTop w:val="0"/>
      <w:marBottom w:val="0"/>
      <w:divBdr>
        <w:top w:val="none" w:sz="0" w:space="0" w:color="auto"/>
        <w:left w:val="none" w:sz="0" w:space="0" w:color="auto"/>
        <w:bottom w:val="none" w:sz="0" w:space="0" w:color="auto"/>
        <w:right w:val="none" w:sz="0" w:space="0" w:color="auto"/>
      </w:divBdr>
    </w:div>
    <w:div w:id="1333339047">
      <w:bodyDiv w:val="1"/>
      <w:marLeft w:val="0"/>
      <w:marRight w:val="0"/>
      <w:marTop w:val="0"/>
      <w:marBottom w:val="0"/>
      <w:divBdr>
        <w:top w:val="none" w:sz="0" w:space="0" w:color="auto"/>
        <w:left w:val="none" w:sz="0" w:space="0" w:color="auto"/>
        <w:bottom w:val="none" w:sz="0" w:space="0" w:color="auto"/>
        <w:right w:val="none" w:sz="0" w:space="0" w:color="auto"/>
      </w:divBdr>
    </w:div>
    <w:div w:id="1609316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cy.org/StillWai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niccy.org/StillWaiting" TargetMode="External"/><Relationship Id="rId3" Type="http://schemas.openxmlformats.org/officeDocument/2006/relationships/hyperlink" Target="https://www.health-ni.gov.uk/publications/mental-health-action-plan" TargetMode="External"/><Relationship Id="rId7" Type="http://schemas.openxmlformats.org/officeDocument/2006/relationships/hyperlink" Target="https://www.niccy.org/StillWaiting" TargetMode="External"/><Relationship Id="rId2" Type="http://schemas.openxmlformats.org/officeDocument/2006/relationships/hyperlink" Target="http://www.niccy.org/StillWaiting" TargetMode="External"/><Relationship Id="rId1" Type="http://schemas.openxmlformats.org/officeDocument/2006/relationships/hyperlink" Target="http://www.niccy.org/StillWaiting" TargetMode="External"/><Relationship Id="rId6" Type="http://schemas.openxmlformats.org/officeDocument/2006/relationships/hyperlink" Target="http://www.hscboard.hscni.net/our-work/social-care-and-children/youth-wellbeing-prevalence-survey-2020/" TargetMode="External"/><Relationship Id="rId11" Type="http://schemas.openxmlformats.org/officeDocument/2006/relationships/hyperlink" Target="https://www.niccy.org/media/3114/niccy-still-waiting-report-sept-18-web.pdf" TargetMode="External"/><Relationship Id="rId5" Type="http://schemas.openxmlformats.org/officeDocument/2006/relationships/hyperlink" Target="https://www.niccy.org/media/3691/niccy-socrni-2-main-report-web-nov-20.pdf" TargetMode="External"/><Relationship Id="rId10" Type="http://schemas.openxmlformats.org/officeDocument/2006/relationships/hyperlink" Target="https://www.niccy.org/media/3114/niccy-still-waiting-report-sept-18-web.pdf" TargetMode="External"/><Relationship Id="rId4" Type="http://schemas.openxmlformats.org/officeDocument/2006/relationships/hyperlink" Target="https://www.niccy.org/media/3691/niccy-socrni-2-main-report-web-nov-20.pdf" TargetMode="External"/><Relationship Id="rId9" Type="http://schemas.openxmlformats.org/officeDocument/2006/relationships/hyperlink" Target="https://www.niccy.org/media/3680/niccy-legal-casework-19-20-final-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F4418-8163-442C-B3E4-C850ACA9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5362</Words>
  <Characters>30568</Characters>
  <Application>Microsoft Office Word</Application>
  <DocSecurity>2</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19</cp:revision>
  <cp:lastPrinted>2013-11-19T11:46:00Z</cp:lastPrinted>
  <dcterms:created xsi:type="dcterms:W3CDTF">2021-02-01T16:42:00Z</dcterms:created>
  <dcterms:modified xsi:type="dcterms:W3CDTF">2021-02-03T16:07:00Z</dcterms:modified>
</cp:coreProperties>
</file>