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5A" w:rsidRPr="0097245A" w:rsidRDefault="0097245A" w:rsidP="0097245A">
      <w:pPr>
        <w:pStyle w:val="NICCYBodyText"/>
        <w:spacing w:line="276" w:lineRule="auto"/>
        <w:rPr>
          <w:b/>
          <w:color w:val="FF0000"/>
          <w:sz w:val="36"/>
          <w:szCs w:val="36"/>
        </w:rPr>
      </w:pPr>
      <w:r w:rsidRPr="0097245A">
        <w:rPr>
          <w:b/>
          <w:color w:val="FF0000"/>
          <w:sz w:val="36"/>
          <w:szCs w:val="36"/>
        </w:rPr>
        <w:t xml:space="preserve">Anti-Social Behaviour Legislation in Northern Ireland </w:t>
      </w:r>
    </w:p>
    <w:p w:rsidR="0097245A" w:rsidRPr="0097245A" w:rsidRDefault="0097245A" w:rsidP="0097245A">
      <w:pPr>
        <w:pStyle w:val="NICCYBodyText"/>
        <w:spacing w:line="276" w:lineRule="auto"/>
        <w:rPr>
          <w:b/>
          <w:color w:val="FF0000"/>
          <w:sz w:val="36"/>
          <w:szCs w:val="36"/>
        </w:rPr>
      </w:pPr>
      <w:r w:rsidRPr="0097245A">
        <w:rPr>
          <w:b/>
          <w:color w:val="FF0000"/>
          <w:sz w:val="36"/>
          <w:szCs w:val="36"/>
        </w:rPr>
        <w:t>Review of the Current Legislative Framework</w:t>
      </w:r>
    </w:p>
    <w:p w:rsidR="0097245A" w:rsidRDefault="0097245A" w:rsidP="0097245A">
      <w:pPr>
        <w:pStyle w:val="NICCYBodyText"/>
        <w:spacing w:line="276" w:lineRule="auto"/>
        <w:rPr>
          <w:color w:val="auto"/>
        </w:rPr>
      </w:pPr>
    </w:p>
    <w:p w:rsidR="0097245A" w:rsidRDefault="0097245A" w:rsidP="0097245A">
      <w:pPr>
        <w:pStyle w:val="NICCYBodyText"/>
        <w:spacing w:line="276" w:lineRule="auto"/>
        <w:rPr>
          <w:color w:val="auto"/>
        </w:rPr>
      </w:pPr>
    </w:p>
    <w:p w:rsidR="0097245A" w:rsidRPr="0097245A" w:rsidRDefault="0097245A" w:rsidP="0097245A">
      <w:pPr>
        <w:pStyle w:val="NICCYBodyText"/>
        <w:spacing w:line="276" w:lineRule="auto"/>
        <w:rPr>
          <w:b/>
          <w:color w:val="FF0000"/>
        </w:rPr>
      </w:pPr>
      <w:r w:rsidRPr="0097245A">
        <w:rPr>
          <w:b/>
          <w:color w:val="FF0000"/>
        </w:rPr>
        <w:t xml:space="preserve">Introduction </w:t>
      </w:r>
    </w:p>
    <w:p w:rsidR="0097245A" w:rsidRPr="004E22F6" w:rsidRDefault="0097245A" w:rsidP="0097245A">
      <w:pPr>
        <w:pStyle w:val="NICCYBodyText"/>
        <w:spacing w:line="276" w:lineRule="auto"/>
        <w:rPr>
          <w:color w:val="auto"/>
        </w:rPr>
      </w:pPr>
      <w:r w:rsidRPr="004E22F6">
        <w:rPr>
          <w:color w:val="auto"/>
        </w:rPr>
        <w:t xml:space="preserve">The Northern Ireland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4E22F6">
        <w:rPr>
          <w:color w:val="auto"/>
          <w:shd w:val="clear" w:color="auto" w:fill="FFFFFF"/>
        </w:rPr>
        <w:t xml:space="preserve">Under Article 7(4), NICCY has a statutory duty to advise any relevant authority on matters concerning the rights or best interests of children and young persons. </w:t>
      </w:r>
      <w:r w:rsidRPr="004E22F6">
        <w:rPr>
          <w:color w:val="auto"/>
        </w:rPr>
        <w:t xml:space="preserve">The Commissioner’s remit includes children and young people from birth up to 18 years, or 21 years, if the young person is disabled or in the care of social services.  In carrying out her functions, the Commissioner’s paramount consideration </w:t>
      </w:r>
      <w:r w:rsidRPr="004E22F6">
        <w:rPr>
          <w:rStyle w:val="legds"/>
          <w:color w:val="auto"/>
        </w:rPr>
        <w:t xml:space="preserve">is the rights of the child or young person, having particular regard to their wishes and feelings. In exercising her functions, the Commissioner has regard to all relevant provisions of </w:t>
      </w:r>
      <w:r w:rsidRPr="004E22F6">
        <w:rPr>
          <w:color w:val="auto"/>
        </w:rPr>
        <w:t xml:space="preserve">the United Nations Convention on the Rights of the Child (UNCRC).  </w:t>
      </w:r>
    </w:p>
    <w:p w:rsidR="0097245A" w:rsidRPr="004E22F6" w:rsidRDefault="0097245A" w:rsidP="0097245A">
      <w:pPr>
        <w:pStyle w:val="NICCYBodyText"/>
        <w:spacing w:line="276" w:lineRule="auto"/>
        <w:rPr>
          <w:color w:val="auto"/>
        </w:rPr>
      </w:pPr>
    </w:p>
    <w:p w:rsidR="0097245A" w:rsidRPr="007E076B" w:rsidRDefault="0097245A" w:rsidP="0097245A">
      <w:pPr>
        <w:pStyle w:val="NICCYBodyText"/>
        <w:spacing w:after="240" w:line="276" w:lineRule="auto"/>
        <w:rPr>
          <w:color w:val="auto"/>
        </w:rPr>
      </w:pPr>
      <w:r>
        <w:rPr>
          <w:color w:val="auto"/>
        </w:rPr>
        <w:t>The Commissioner</w:t>
      </w:r>
      <w:r w:rsidRPr="004E22F6">
        <w:rPr>
          <w:color w:val="auto"/>
        </w:rPr>
        <w:t xml:space="preserve"> was pleased to have </w:t>
      </w:r>
      <w:r>
        <w:rPr>
          <w:color w:val="auto"/>
        </w:rPr>
        <w:t xml:space="preserve">constructively </w:t>
      </w:r>
      <w:r w:rsidRPr="004E22F6">
        <w:rPr>
          <w:color w:val="auto"/>
        </w:rPr>
        <w:t xml:space="preserve">engaged with officials from the </w:t>
      </w:r>
      <w:proofErr w:type="spellStart"/>
      <w:r w:rsidRPr="004E22F6">
        <w:rPr>
          <w:color w:val="auto"/>
        </w:rPr>
        <w:t>DoJ</w:t>
      </w:r>
      <w:proofErr w:type="spellEnd"/>
      <w:r w:rsidRPr="004E22F6">
        <w:rPr>
          <w:color w:val="auto"/>
        </w:rPr>
        <w:t xml:space="preserve"> with regards to this review.  NICCY </w:t>
      </w:r>
      <w:r>
        <w:rPr>
          <w:color w:val="auto"/>
        </w:rPr>
        <w:t xml:space="preserve">was </w:t>
      </w:r>
      <w:r w:rsidRPr="004E22F6">
        <w:rPr>
          <w:color w:val="auto"/>
        </w:rPr>
        <w:t xml:space="preserve">taken aback by this consultation and was not made aware that the </w:t>
      </w:r>
      <w:proofErr w:type="spellStart"/>
      <w:r w:rsidRPr="004E22F6">
        <w:rPr>
          <w:color w:val="auto"/>
        </w:rPr>
        <w:t>DoJ</w:t>
      </w:r>
      <w:proofErr w:type="spellEnd"/>
      <w:r w:rsidRPr="004E22F6">
        <w:rPr>
          <w:color w:val="auto"/>
        </w:rPr>
        <w:t xml:space="preserve"> was considering reviewing the current legislative framework</w:t>
      </w:r>
      <w:r>
        <w:rPr>
          <w:color w:val="auto"/>
        </w:rPr>
        <w:t>.  Also there little</w:t>
      </w:r>
      <w:r w:rsidRPr="004E22F6">
        <w:rPr>
          <w:color w:val="auto"/>
        </w:rPr>
        <w:t xml:space="preserve"> account </w:t>
      </w:r>
      <w:r>
        <w:rPr>
          <w:color w:val="auto"/>
        </w:rPr>
        <w:t xml:space="preserve">seems to have been taken </w:t>
      </w:r>
      <w:r w:rsidRPr="004E22F6">
        <w:rPr>
          <w:color w:val="auto"/>
        </w:rPr>
        <w:t>of the di</w:t>
      </w:r>
      <w:r>
        <w:rPr>
          <w:color w:val="auto"/>
        </w:rPr>
        <w:t xml:space="preserve">scussions and context </w:t>
      </w:r>
      <w:proofErr w:type="gramStart"/>
      <w:r>
        <w:rPr>
          <w:color w:val="auto"/>
        </w:rPr>
        <w:t xml:space="preserve">leading </w:t>
      </w:r>
      <w:r w:rsidRPr="004E22F6">
        <w:rPr>
          <w:color w:val="auto"/>
        </w:rPr>
        <w:t xml:space="preserve"> to</w:t>
      </w:r>
      <w:proofErr w:type="gramEnd"/>
      <w:r w:rsidRPr="004E22F6">
        <w:rPr>
          <w:color w:val="auto"/>
        </w:rPr>
        <w:t xml:space="preserve"> passing the </w:t>
      </w:r>
      <w:r>
        <w:rPr>
          <w:color w:val="auto"/>
        </w:rPr>
        <w:t xml:space="preserve">Anti-Social Behaviour Order (NI), </w:t>
      </w:r>
      <w:r w:rsidRPr="004E22F6">
        <w:rPr>
          <w:color w:val="auto"/>
        </w:rPr>
        <w:t xml:space="preserve">2004 order.  The issues outlined </w:t>
      </w:r>
      <w:r>
        <w:rPr>
          <w:color w:val="auto"/>
        </w:rPr>
        <w:t xml:space="preserve">in opposition to this legislation </w:t>
      </w:r>
      <w:r w:rsidRPr="004E22F6">
        <w:rPr>
          <w:color w:val="auto"/>
        </w:rPr>
        <w:t xml:space="preserve">at that time apply equally today.  </w:t>
      </w:r>
    </w:p>
    <w:p w:rsidR="0097245A" w:rsidRPr="007E076B" w:rsidRDefault="0097245A" w:rsidP="0097245A">
      <w:pPr>
        <w:pStyle w:val="NICCYBodyText"/>
        <w:spacing w:after="240" w:line="276" w:lineRule="auto"/>
        <w:rPr>
          <w:color w:val="auto"/>
        </w:rPr>
      </w:pPr>
      <w:r>
        <w:rPr>
          <w:color w:val="auto"/>
        </w:rPr>
        <w:t>T</w:t>
      </w:r>
      <w:r w:rsidRPr="004E22F6">
        <w:rPr>
          <w:color w:val="auto"/>
        </w:rPr>
        <w:t>he operation of the current legislation for addressing anti-social behaviour in Northern Ireland since its introduction has shown that ASBO’s are ineffective in terms of addressing anti-social behaviour and we believe that the development of a similar, punitive legislative approach is</w:t>
      </w:r>
      <w:r>
        <w:rPr>
          <w:color w:val="auto"/>
        </w:rPr>
        <w:t xml:space="preserve"> a fundamentally flawed</w:t>
      </w:r>
      <w:r w:rsidRPr="004E22F6">
        <w:rPr>
          <w:color w:val="auto"/>
        </w:rPr>
        <w:t xml:space="preserve">.  </w:t>
      </w:r>
    </w:p>
    <w:p w:rsidR="0097245A" w:rsidRPr="004E22F6" w:rsidRDefault="0097245A" w:rsidP="0097245A">
      <w:pPr>
        <w:autoSpaceDE w:val="0"/>
        <w:autoSpaceDN w:val="0"/>
        <w:adjustRightInd w:val="0"/>
        <w:spacing w:line="276" w:lineRule="auto"/>
        <w:rPr>
          <w:rFonts w:ascii="Arial" w:hAnsi="Arial" w:cs="Arial"/>
          <w:sz w:val="24"/>
          <w:szCs w:val="24"/>
        </w:rPr>
      </w:pPr>
      <w:r w:rsidRPr="004E22F6">
        <w:rPr>
          <w:rFonts w:ascii="Arial" w:hAnsi="Arial" w:cs="Arial"/>
          <w:sz w:val="24"/>
          <w:szCs w:val="24"/>
        </w:rPr>
        <w:t>The UN Committee on the Rights of the Child in its 2008 Concluding Observations following its examination of the UK Government’s compliance with the UNCRC stated,</w:t>
      </w:r>
    </w:p>
    <w:p w:rsidR="0097245A" w:rsidRPr="004E22F6" w:rsidRDefault="0097245A" w:rsidP="0097245A">
      <w:pPr>
        <w:pStyle w:val="ListParagraph"/>
        <w:autoSpaceDE w:val="0"/>
        <w:autoSpaceDN w:val="0"/>
        <w:adjustRightInd w:val="0"/>
        <w:spacing w:line="276" w:lineRule="auto"/>
        <w:rPr>
          <w:rFonts w:ascii="Arial" w:hAnsi="Arial" w:cs="Arial"/>
          <w:sz w:val="24"/>
          <w:szCs w:val="24"/>
        </w:rPr>
      </w:pPr>
    </w:p>
    <w:p w:rsidR="0097245A" w:rsidRPr="004E22F6" w:rsidRDefault="0097245A" w:rsidP="0097245A">
      <w:pPr>
        <w:autoSpaceDE w:val="0"/>
        <w:autoSpaceDN w:val="0"/>
        <w:adjustRightInd w:val="0"/>
        <w:spacing w:line="276" w:lineRule="auto"/>
        <w:ind w:left="720"/>
        <w:rPr>
          <w:rFonts w:ascii="Arial" w:hAnsi="Arial" w:cs="Arial"/>
          <w:i/>
          <w:iCs/>
          <w:sz w:val="24"/>
          <w:szCs w:val="24"/>
        </w:rPr>
      </w:pPr>
      <w:r w:rsidRPr="004E22F6">
        <w:rPr>
          <w:rFonts w:ascii="Arial" w:hAnsi="Arial" w:cs="Arial"/>
          <w:i/>
          <w:iCs/>
          <w:sz w:val="24"/>
          <w:szCs w:val="24"/>
        </w:rPr>
        <w:t xml:space="preserve">“The Committee is concerned at the restriction imposed on the freedom of movement and peaceful assembly of children by the anti-social behaviour orders </w:t>
      </w:r>
      <w:r w:rsidRPr="004E22F6">
        <w:rPr>
          <w:rFonts w:ascii="Arial" w:hAnsi="Arial" w:cs="Arial"/>
          <w:i/>
          <w:iCs/>
          <w:sz w:val="24"/>
          <w:szCs w:val="24"/>
        </w:rPr>
        <w:lastRenderedPageBreak/>
        <w:t>(ASBOs)… as well as by the use of the so called “mosquito devices” and the introduction of the concept of “dispersed zones”</w:t>
      </w:r>
    </w:p>
    <w:p w:rsidR="0097245A" w:rsidRPr="004E22F6" w:rsidRDefault="0097245A" w:rsidP="0097245A">
      <w:pPr>
        <w:autoSpaceDE w:val="0"/>
        <w:autoSpaceDN w:val="0"/>
        <w:adjustRightInd w:val="0"/>
        <w:spacing w:line="276" w:lineRule="auto"/>
        <w:ind w:left="720"/>
        <w:rPr>
          <w:rFonts w:ascii="Arial" w:hAnsi="Arial" w:cs="Arial"/>
          <w:sz w:val="24"/>
          <w:szCs w:val="24"/>
        </w:rPr>
      </w:pPr>
    </w:p>
    <w:p w:rsidR="0097245A" w:rsidRPr="004E22F6" w:rsidRDefault="0097245A" w:rsidP="0097245A">
      <w:pPr>
        <w:pStyle w:val="ListParagraph"/>
        <w:autoSpaceDE w:val="0"/>
        <w:autoSpaceDN w:val="0"/>
        <w:adjustRightInd w:val="0"/>
        <w:spacing w:line="276" w:lineRule="auto"/>
        <w:rPr>
          <w:rFonts w:ascii="Arial" w:hAnsi="Arial" w:cs="Arial"/>
          <w:i/>
          <w:iCs/>
          <w:sz w:val="24"/>
          <w:szCs w:val="24"/>
        </w:rPr>
      </w:pPr>
      <w:r w:rsidRPr="004E22F6">
        <w:rPr>
          <w:rFonts w:ascii="Arial" w:hAnsi="Arial" w:cs="Arial"/>
          <w:i/>
          <w:iCs/>
          <w:sz w:val="24"/>
          <w:szCs w:val="24"/>
        </w:rPr>
        <w:t>35. The Committee recommends that the State party reconsider the ASBOs as well as other measures such as the mosquito devices insofar as they may violate the rights of children to freedom of movement and peaceful assembly, the enjoyment of which is essential for the children’s development and may only subject to very limited restrictions as enshrined in article 15 of the Convention…</w:t>
      </w:r>
    </w:p>
    <w:p w:rsidR="0097245A" w:rsidRPr="004E22F6" w:rsidRDefault="0097245A" w:rsidP="0097245A">
      <w:pPr>
        <w:pStyle w:val="ListParagraph"/>
        <w:spacing w:line="276" w:lineRule="auto"/>
        <w:rPr>
          <w:rFonts w:ascii="Arial" w:hAnsi="Arial" w:cs="Arial"/>
          <w:i/>
          <w:iCs/>
          <w:sz w:val="24"/>
          <w:szCs w:val="24"/>
        </w:rPr>
      </w:pPr>
    </w:p>
    <w:p w:rsidR="0097245A" w:rsidRPr="004E22F6" w:rsidRDefault="0097245A" w:rsidP="0097245A">
      <w:pPr>
        <w:pStyle w:val="ListParagraph"/>
        <w:autoSpaceDE w:val="0"/>
        <w:autoSpaceDN w:val="0"/>
        <w:adjustRightInd w:val="0"/>
        <w:spacing w:line="276" w:lineRule="auto"/>
        <w:rPr>
          <w:rFonts w:ascii="Arial" w:hAnsi="Arial" w:cs="Arial"/>
          <w:i/>
          <w:iCs/>
          <w:sz w:val="24"/>
          <w:szCs w:val="24"/>
        </w:rPr>
      </w:pPr>
      <w:r w:rsidRPr="004E22F6">
        <w:rPr>
          <w:rFonts w:ascii="Arial" w:hAnsi="Arial" w:cs="Arial"/>
          <w:i/>
          <w:iCs/>
          <w:sz w:val="24"/>
          <w:szCs w:val="24"/>
        </w:rPr>
        <w:t>79. The Committee is concerned at the application to children of the Anti-Social Behaviour Orders (ASBOs), which are civil orders posing restrictions on children’s gathering, which may convert into criminal offences in case of their breach. The Committee is further concerned:</w:t>
      </w:r>
    </w:p>
    <w:p w:rsidR="0097245A" w:rsidRPr="004E22F6" w:rsidRDefault="0097245A" w:rsidP="0097245A">
      <w:pPr>
        <w:pStyle w:val="ListParagraph"/>
        <w:autoSpaceDE w:val="0"/>
        <w:autoSpaceDN w:val="0"/>
        <w:adjustRightInd w:val="0"/>
        <w:spacing w:line="276" w:lineRule="auto"/>
        <w:ind w:left="1440"/>
        <w:rPr>
          <w:rFonts w:ascii="Arial" w:hAnsi="Arial" w:cs="Arial"/>
          <w:i/>
          <w:iCs/>
          <w:sz w:val="24"/>
          <w:szCs w:val="24"/>
        </w:rPr>
      </w:pPr>
      <w:r w:rsidRPr="004E22F6">
        <w:rPr>
          <w:rFonts w:ascii="Arial" w:hAnsi="Arial" w:cs="Arial"/>
          <w:i/>
          <w:iCs/>
          <w:sz w:val="24"/>
          <w:szCs w:val="24"/>
        </w:rPr>
        <w:t xml:space="preserve">a) </w:t>
      </w:r>
      <w:proofErr w:type="gramStart"/>
      <w:r w:rsidRPr="004E22F6">
        <w:rPr>
          <w:rFonts w:ascii="Arial" w:hAnsi="Arial" w:cs="Arial"/>
          <w:i/>
          <w:iCs/>
          <w:sz w:val="24"/>
          <w:szCs w:val="24"/>
        </w:rPr>
        <w:t>at</w:t>
      </w:r>
      <w:proofErr w:type="gramEnd"/>
      <w:r w:rsidRPr="004E22F6">
        <w:rPr>
          <w:rFonts w:ascii="Arial" w:hAnsi="Arial" w:cs="Arial"/>
          <w:i/>
          <w:iCs/>
          <w:sz w:val="24"/>
          <w:szCs w:val="24"/>
        </w:rPr>
        <w:t xml:space="preserve"> the ease of issuing such orders, the broad range of prohibited behaviour and the fact that the breach of an order is a criminal offence with potentially serious consequences;</w:t>
      </w:r>
    </w:p>
    <w:p w:rsidR="0097245A" w:rsidRPr="004E22F6" w:rsidRDefault="0097245A" w:rsidP="0097245A">
      <w:pPr>
        <w:pStyle w:val="ListParagraph"/>
        <w:autoSpaceDE w:val="0"/>
        <w:autoSpaceDN w:val="0"/>
        <w:adjustRightInd w:val="0"/>
        <w:spacing w:line="276" w:lineRule="auto"/>
        <w:ind w:left="1440"/>
        <w:rPr>
          <w:rFonts w:ascii="Arial" w:hAnsi="Arial" w:cs="Arial"/>
          <w:i/>
          <w:iCs/>
          <w:sz w:val="24"/>
          <w:szCs w:val="24"/>
        </w:rPr>
      </w:pPr>
      <w:r w:rsidRPr="004E22F6">
        <w:rPr>
          <w:rFonts w:ascii="Arial" w:hAnsi="Arial" w:cs="Arial"/>
          <w:i/>
          <w:iCs/>
          <w:sz w:val="24"/>
          <w:szCs w:val="24"/>
        </w:rPr>
        <w:t xml:space="preserve">b) </w:t>
      </w:r>
      <w:proofErr w:type="gramStart"/>
      <w:r w:rsidRPr="004E22F6">
        <w:rPr>
          <w:rFonts w:ascii="Arial" w:hAnsi="Arial" w:cs="Arial"/>
          <w:i/>
          <w:iCs/>
          <w:sz w:val="24"/>
          <w:szCs w:val="24"/>
        </w:rPr>
        <w:t>that</w:t>
      </w:r>
      <w:proofErr w:type="gramEnd"/>
      <w:r w:rsidRPr="004E22F6">
        <w:rPr>
          <w:rFonts w:ascii="Arial" w:hAnsi="Arial" w:cs="Arial"/>
          <w:i/>
          <w:iCs/>
          <w:sz w:val="24"/>
          <w:szCs w:val="24"/>
        </w:rPr>
        <w:t xml:space="preserve"> ASBOs, instead of being a measure in the best interests of children, may in practice contribute to their entry into contact with the criminal justice system;</w:t>
      </w:r>
    </w:p>
    <w:p w:rsidR="0097245A" w:rsidRPr="004E22F6" w:rsidRDefault="0097245A" w:rsidP="0097245A">
      <w:pPr>
        <w:pStyle w:val="ListParagraph"/>
        <w:autoSpaceDE w:val="0"/>
        <w:autoSpaceDN w:val="0"/>
        <w:adjustRightInd w:val="0"/>
        <w:spacing w:line="276" w:lineRule="auto"/>
        <w:ind w:firstLine="720"/>
        <w:rPr>
          <w:rFonts w:ascii="Arial" w:hAnsi="Arial" w:cs="Arial"/>
          <w:i/>
          <w:iCs/>
          <w:sz w:val="24"/>
          <w:szCs w:val="24"/>
        </w:rPr>
      </w:pPr>
      <w:r w:rsidRPr="004E22F6">
        <w:rPr>
          <w:rFonts w:ascii="Arial" w:hAnsi="Arial" w:cs="Arial"/>
          <w:i/>
          <w:iCs/>
          <w:sz w:val="24"/>
          <w:szCs w:val="24"/>
        </w:rPr>
        <w:t xml:space="preserve">c) </w:t>
      </w:r>
      <w:proofErr w:type="gramStart"/>
      <w:r w:rsidRPr="004E22F6">
        <w:rPr>
          <w:rFonts w:ascii="Arial" w:hAnsi="Arial" w:cs="Arial"/>
          <w:i/>
          <w:iCs/>
          <w:sz w:val="24"/>
          <w:szCs w:val="24"/>
        </w:rPr>
        <w:t>that</w:t>
      </w:r>
      <w:proofErr w:type="gramEnd"/>
      <w:r w:rsidRPr="004E22F6">
        <w:rPr>
          <w:rFonts w:ascii="Arial" w:hAnsi="Arial" w:cs="Arial"/>
          <w:i/>
          <w:iCs/>
          <w:sz w:val="24"/>
          <w:szCs w:val="24"/>
        </w:rPr>
        <w:t xml:space="preserve"> most children subject to them are from disadvantaged backgrounds.</w:t>
      </w:r>
    </w:p>
    <w:p w:rsidR="0097245A" w:rsidRPr="004E22F6" w:rsidRDefault="0097245A" w:rsidP="0097245A">
      <w:pPr>
        <w:pStyle w:val="ListParagraph"/>
        <w:autoSpaceDE w:val="0"/>
        <w:autoSpaceDN w:val="0"/>
        <w:adjustRightInd w:val="0"/>
        <w:spacing w:line="276" w:lineRule="auto"/>
        <w:rPr>
          <w:rFonts w:ascii="Arial" w:hAnsi="Arial" w:cs="Arial"/>
          <w:i/>
          <w:iCs/>
          <w:sz w:val="24"/>
          <w:szCs w:val="24"/>
        </w:rPr>
      </w:pPr>
      <w:r w:rsidRPr="004E22F6">
        <w:rPr>
          <w:rFonts w:ascii="Arial" w:hAnsi="Arial" w:cs="Arial"/>
          <w:i/>
          <w:iCs/>
          <w:sz w:val="24"/>
          <w:szCs w:val="24"/>
        </w:rPr>
        <w:t>80. The Committee recommends that the State party conduct an independent review on the ASBOs with a view to abolishing their application to children.”</w:t>
      </w:r>
      <w:r w:rsidRPr="004E22F6">
        <w:rPr>
          <w:rStyle w:val="FootnoteReference"/>
          <w:rFonts w:ascii="Arial" w:hAnsi="Arial" w:cs="Arial"/>
          <w:i/>
          <w:iCs/>
          <w:sz w:val="24"/>
          <w:szCs w:val="24"/>
        </w:rPr>
        <w:footnoteReference w:id="1"/>
      </w:r>
    </w:p>
    <w:p w:rsidR="0097245A" w:rsidRPr="004E22F6" w:rsidRDefault="0097245A" w:rsidP="0097245A">
      <w:pPr>
        <w:pStyle w:val="ListParagraph"/>
        <w:autoSpaceDE w:val="0"/>
        <w:autoSpaceDN w:val="0"/>
        <w:adjustRightInd w:val="0"/>
        <w:spacing w:line="276" w:lineRule="auto"/>
        <w:rPr>
          <w:rFonts w:ascii="Arial" w:hAnsi="Arial" w:cs="Arial"/>
          <w:i/>
          <w:iCs/>
          <w:sz w:val="24"/>
          <w:szCs w:val="24"/>
        </w:rPr>
      </w:pPr>
    </w:p>
    <w:p w:rsidR="0097245A" w:rsidRPr="0097245A" w:rsidRDefault="0097245A" w:rsidP="0097245A">
      <w:pPr>
        <w:pStyle w:val="NICCYBodyText"/>
        <w:spacing w:line="276" w:lineRule="auto"/>
        <w:rPr>
          <w:b/>
          <w:color w:val="FF0000"/>
        </w:rPr>
      </w:pPr>
      <w:r w:rsidRPr="0097245A">
        <w:rPr>
          <w:b/>
          <w:color w:val="FF0000"/>
        </w:rPr>
        <w:t>Comments</w:t>
      </w:r>
    </w:p>
    <w:p w:rsidR="0097245A" w:rsidRPr="004E22F6" w:rsidRDefault="0097245A" w:rsidP="0097245A">
      <w:pPr>
        <w:pStyle w:val="NICCYBodyText"/>
        <w:spacing w:line="276" w:lineRule="auto"/>
        <w:rPr>
          <w:color w:val="auto"/>
        </w:rPr>
      </w:pPr>
      <w:r w:rsidRPr="004E22F6">
        <w:rPr>
          <w:color w:val="auto"/>
        </w:rPr>
        <w:t xml:space="preserve">In paragraph </w:t>
      </w:r>
      <w:r w:rsidRPr="007E076B">
        <w:rPr>
          <w:b/>
          <w:color w:val="auto"/>
        </w:rPr>
        <w:t>3.1</w:t>
      </w:r>
      <w:r w:rsidRPr="004E22F6">
        <w:rPr>
          <w:color w:val="auto"/>
        </w:rPr>
        <w:t xml:space="preserve"> of the consultation it is recog</w:t>
      </w:r>
      <w:r>
        <w:rPr>
          <w:color w:val="auto"/>
        </w:rPr>
        <w:t>nised that the definition of</w:t>
      </w:r>
      <w:r w:rsidRPr="004E22F6">
        <w:rPr>
          <w:color w:val="auto"/>
        </w:rPr>
        <w:t xml:space="preserve"> anti-social behaviour can be “broad</w:t>
      </w:r>
      <w:r>
        <w:rPr>
          <w:color w:val="auto"/>
        </w:rPr>
        <w:t>.  However there is no acceptance</w:t>
      </w:r>
      <w:r w:rsidRPr="004E22F6">
        <w:rPr>
          <w:color w:val="auto"/>
        </w:rPr>
        <w:t xml:space="preserve"> of the fact that </w:t>
      </w:r>
      <w:r>
        <w:rPr>
          <w:color w:val="auto"/>
        </w:rPr>
        <w:t xml:space="preserve">such </w:t>
      </w:r>
      <w:r w:rsidRPr="004E22F6">
        <w:rPr>
          <w:color w:val="auto"/>
        </w:rPr>
        <w:t xml:space="preserve">behaviour is described in legislation as </w:t>
      </w:r>
    </w:p>
    <w:p w:rsidR="0097245A" w:rsidRPr="004E22F6" w:rsidRDefault="0097245A" w:rsidP="0097245A">
      <w:pPr>
        <w:pStyle w:val="legclearfix2"/>
        <w:spacing w:line="276" w:lineRule="auto"/>
        <w:ind w:left="1440"/>
        <w:rPr>
          <w:rStyle w:val="legds2"/>
          <w:rFonts w:ascii="Arial" w:hAnsi="Arial" w:cs="Arial"/>
          <w:i/>
          <w:color w:val="auto"/>
          <w:sz w:val="18"/>
          <w:szCs w:val="18"/>
        </w:rPr>
      </w:pPr>
      <w:r>
        <w:rPr>
          <w:rStyle w:val="legds2"/>
          <w:rFonts w:ascii="Arial" w:hAnsi="Arial" w:cs="Arial"/>
          <w:i/>
          <w:color w:val="auto"/>
          <w:sz w:val="24"/>
          <w:szCs w:val="24"/>
          <w:specVanish w:val="0"/>
        </w:rPr>
        <w:t>3.1</w:t>
      </w:r>
      <w:r w:rsidRPr="004E22F6">
        <w:rPr>
          <w:rStyle w:val="legds2"/>
          <w:rFonts w:ascii="Arial" w:hAnsi="Arial" w:cs="Arial"/>
          <w:i/>
          <w:color w:val="auto"/>
          <w:sz w:val="24"/>
          <w:szCs w:val="24"/>
          <w:specVanish w:val="0"/>
        </w:rPr>
        <w:t>(a)</w:t>
      </w:r>
      <w:r>
        <w:rPr>
          <w:rStyle w:val="legds2"/>
          <w:rFonts w:ascii="Arial" w:hAnsi="Arial" w:cs="Arial"/>
          <w:i/>
          <w:color w:val="auto"/>
          <w:sz w:val="24"/>
          <w:szCs w:val="24"/>
          <w:specVanish w:val="0"/>
        </w:rPr>
        <w:t xml:space="preserve"> </w:t>
      </w:r>
      <w:r w:rsidRPr="004E22F6">
        <w:rPr>
          <w:rStyle w:val="legds2"/>
          <w:rFonts w:ascii="Arial" w:hAnsi="Arial" w:cs="Arial"/>
          <w:i/>
          <w:color w:val="auto"/>
          <w:sz w:val="24"/>
          <w:szCs w:val="24"/>
          <w:specVanish w:val="0"/>
        </w:rPr>
        <w:t>that the person has acted, since the commencement date, in an anti-social manner, that is to say, in a manner that caused or was likely to cause harassment, alarm or distress to one or more persons not of the same household as himself;</w:t>
      </w:r>
      <w:r w:rsidRPr="004E22F6">
        <w:rPr>
          <w:rStyle w:val="FootnoteReference"/>
          <w:rFonts w:ascii="Arial" w:hAnsi="Arial" w:cs="Arial"/>
          <w:i/>
          <w:color w:val="auto"/>
          <w:sz w:val="24"/>
          <w:szCs w:val="24"/>
        </w:rPr>
        <w:footnoteReference w:id="2"/>
      </w:r>
    </w:p>
    <w:p w:rsidR="0097245A" w:rsidRDefault="0097245A" w:rsidP="0097245A">
      <w:pPr>
        <w:spacing w:line="276" w:lineRule="auto"/>
        <w:rPr>
          <w:rFonts w:ascii="Arial" w:eastAsiaTheme="minorEastAsia" w:hAnsi="Arial" w:cs="Arial"/>
          <w:sz w:val="24"/>
          <w:szCs w:val="24"/>
        </w:rPr>
      </w:pPr>
      <w:r w:rsidRPr="004E22F6">
        <w:rPr>
          <w:rFonts w:ascii="Arial" w:eastAsiaTheme="minorEastAsia" w:hAnsi="Arial" w:cs="Arial"/>
          <w:sz w:val="24"/>
          <w:szCs w:val="24"/>
        </w:rPr>
        <w:t xml:space="preserve">It would have been helpful if there was some discussion with regards to the inherent challenges of </w:t>
      </w:r>
      <w:r>
        <w:rPr>
          <w:rFonts w:ascii="Arial" w:eastAsiaTheme="minorEastAsia" w:hAnsi="Arial" w:cs="Arial"/>
          <w:sz w:val="24"/>
          <w:szCs w:val="24"/>
        </w:rPr>
        <w:t>such a highly</w:t>
      </w:r>
      <w:r w:rsidRPr="004E22F6">
        <w:rPr>
          <w:rFonts w:ascii="Arial" w:eastAsiaTheme="minorEastAsia" w:hAnsi="Arial" w:cs="Arial"/>
          <w:sz w:val="24"/>
          <w:szCs w:val="24"/>
        </w:rPr>
        <w:t xml:space="preserve"> subjective definition.  </w:t>
      </w:r>
      <w:r w:rsidRPr="004E22F6">
        <w:rPr>
          <w:rFonts w:ascii="Arial" w:hAnsi="Arial" w:cs="Arial"/>
          <w:sz w:val="24"/>
          <w:szCs w:val="24"/>
        </w:rPr>
        <w:t>This subjectiv</w:t>
      </w:r>
      <w:r>
        <w:rPr>
          <w:rFonts w:ascii="Arial" w:hAnsi="Arial" w:cs="Arial"/>
          <w:sz w:val="24"/>
          <w:szCs w:val="24"/>
        </w:rPr>
        <w:t>ity combined with the fact that</w:t>
      </w:r>
      <w:r w:rsidRPr="004E22F6">
        <w:rPr>
          <w:rFonts w:ascii="Arial" w:hAnsi="Arial" w:cs="Arial"/>
          <w:sz w:val="24"/>
          <w:szCs w:val="24"/>
        </w:rPr>
        <w:t xml:space="preserve"> what is being proposed are civil orders with a lower burden of proof and the admissibility of hearsay and professional evidence, would render these orders and associated proceedings against children </w:t>
      </w:r>
      <w:r>
        <w:rPr>
          <w:rFonts w:ascii="Arial" w:hAnsi="Arial" w:cs="Arial"/>
          <w:sz w:val="24"/>
          <w:szCs w:val="24"/>
        </w:rPr>
        <w:t xml:space="preserve">as </w:t>
      </w:r>
      <w:r w:rsidRPr="004E22F6">
        <w:rPr>
          <w:rFonts w:ascii="Arial" w:hAnsi="Arial" w:cs="Arial"/>
          <w:sz w:val="24"/>
          <w:szCs w:val="24"/>
        </w:rPr>
        <w:t>n</w:t>
      </w:r>
      <w:r>
        <w:rPr>
          <w:rFonts w:ascii="Arial" w:hAnsi="Arial" w:cs="Arial"/>
          <w:sz w:val="24"/>
          <w:szCs w:val="24"/>
        </w:rPr>
        <w:t>ot</w:t>
      </w:r>
      <w:r w:rsidRPr="004E22F6">
        <w:rPr>
          <w:rFonts w:ascii="Arial" w:hAnsi="Arial" w:cs="Arial"/>
          <w:sz w:val="24"/>
          <w:szCs w:val="24"/>
        </w:rPr>
        <w:t xml:space="preserve"> compliant</w:t>
      </w:r>
      <w:r>
        <w:rPr>
          <w:rFonts w:ascii="Arial" w:hAnsi="Arial" w:cs="Arial"/>
          <w:sz w:val="24"/>
          <w:szCs w:val="24"/>
        </w:rPr>
        <w:t xml:space="preserve"> with</w:t>
      </w:r>
      <w:r w:rsidRPr="004E22F6">
        <w:rPr>
          <w:rFonts w:ascii="Arial" w:hAnsi="Arial" w:cs="Arial"/>
          <w:sz w:val="24"/>
          <w:szCs w:val="24"/>
        </w:rPr>
        <w:t xml:space="preserve"> Article 6</w:t>
      </w:r>
      <w:r>
        <w:rPr>
          <w:rFonts w:ascii="Arial" w:hAnsi="Arial" w:cs="Arial"/>
          <w:sz w:val="24"/>
          <w:szCs w:val="24"/>
        </w:rPr>
        <w:t xml:space="preserve"> of the European </w:t>
      </w:r>
      <w:r>
        <w:rPr>
          <w:rFonts w:ascii="Arial" w:hAnsi="Arial" w:cs="Arial"/>
          <w:sz w:val="24"/>
          <w:szCs w:val="24"/>
        </w:rPr>
        <w:lastRenderedPageBreak/>
        <w:t>Convention on Human Rights</w:t>
      </w:r>
      <w:r w:rsidRPr="004E22F6">
        <w:rPr>
          <w:rFonts w:ascii="Arial" w:hAnsi="Arial" w:cs="Arial"/>
          <w:sz w:val="24"/>
          <w:szCs w:val="24"/>
        </w:rPr>
        <w:t>, especially in the context of the distinct blurring of the civil and criminal law. We assume that breaching the conditions of these orders will be a criminal offence and consequently a child will be criminalised in respect of</w:t>
      </w:r>
      <w:r>
        <w:rPr>
          <w:rFonts w:ascii="Arial" w:hAnsi="Arial" w:cs="Arial"/>
          <w:sz w:val="24"/>
          <w:szCs w:val="24"/>
        </w:rPr>
        <w:t xml:space="preserve"> a</w:t>
      </w:r>
      <w:r w:rsidRPr="004E22F6">
        <w:rPr>
          <w:rFonts w:ascii="Arial" w:hAnsi="Arial" w:cs="Arial"/>
          <w:sz w:val="24"/>
          <w:szCs w:val="24"/>
        </w:rPr>
        <w:t xml:space="preserve"> breach of a civil order which he/she received for behaviour which may not be characterised as criminal (especially in the context of public space protection orders). </w:t>
      </w:r>
      <w:r w:rsidRPr="004E22F6">
        <w:rPr>
          <w:rFonts w:ascii="Arial" w:eastAsiaTheme="minorEastAsia" w:hAnsi="Arial" w:cs="Arial"/>
          <w:sz w:val="24"/>
          <w:szCs w:val="24"/>
        </w:rPr>
        <w:t>The incompatibility regarding the use of civil orders that may result with criminal sanctions was very well rehearsed in 2004 and I attach references for your information</w:t>
      </w:r>
      <w:r w:rsidRPr="004E22F6">
        <w:rPr>
          <w:rStyle w:val="FootnoteReference"/>
          <w:rFonts w:ascii="Arial" w:eastAsiaTheme="minorEastAsia" w:hAnsi="Arial" w:cs="Arial"/>
          <w:sz w:val="24"/>
          <w:szCs w:val="24"/>
        </w:rPr>
        <w:footnoteReference w:id="3"/>
      </w:r>
      <w:r w:rsidRPr="004E22F6">
        <w:rPr>
          <w:rFonts w:ascii="Arial" w:eastAsiaTheme="minorEastAsia" w:hAnsi="Arial" w:cs="Arial"/>
          <w:sz w:val="24"/>
          <w:szCs w:val="24"/>
        </w:rPr>
        <w:t xml:space="preserve"> </w:t>
      </w:r>
    </w:p>
    <w:p w:rsidR="0097245A" w:rsidRPr="004E22F6" w:rsidRDefault="0097245A" w:rsidP="0097245A">
      <w:pPr>
        <w:spacing w:line="276" w:lineRule="auto"/>
        <w:rPr>
          <w:rFonts w:ascii="Arial" w:eastAsiaTheme="minorEastAsia" w:hAnsi="Arial" w:cs="Arial"/>
          <w:sz w:val="24"/>
          <w:szCs w:val="24"/>
        </w:rPr>
      </w:pPr>
    </w:p>
    <w:p w:rsidR="0097245A" w:rsidRPr="004E22F6" w:rsidRDefault="0097245A" w:rsidP="0097245A">
      <w:pPr>
        <w:pStyle w:val="legclearfix2"/>
        <w:spacing w:line="276" w:lineRule="auto"/>
        <w:rPr>
          <w:rFonts w:ascii="Arial" w:eastAsiaTheme="minorEastAsia" w:hAnsi="Arial" w:cs="Arial"/>
          <w:color w:val="auto"/>
          <w:sz w:val="24"/>
          <w:szCs w:val="24"/>
          <w:lang w:eastAsia="en-US"/>
        </w:rPr>
      </w:pPr>
      <w:r w:rsidRPr="004E22F6">
        <w:rPr>
          <w:rFonts w:ascii="Arial" w:eastAsiaTheme="minorEastAsia" w:hAnsi="Arial" w:cs="Arial"/>
          <w:color w:val="auto"/>
          <w:sz w:val="24"/>
          <w:szCs w:val="24"/>
          <w:lang w:eastAsia="en-US"/>
        </w:rPr>
        <w:t xml:space="preserve">The review document conflates crime and anti-social behaviour where in paragraphs </w:t>
      </w:r>
      <w:r w:rsidRPr="0097245A">
        <w:rPr>
          <w:rFonts w:ascii="Arial" w:eastAsiaTheme="minorEastAsia" w:hAnsi="Arial" w:cs="Arial"/>
          <w:b/>
          <w:color w:val="auto"/>
          <w:sz w:val="24"/>
          <w:szCs w:val="24"/>
          <w:lang w:eastAsia="en-US"/>
        </w:rPr>
        <w:t>3.3 – 3.6</w:t>
      </w:r>
      <w:r>
        <w:rPr>
          <w:rFonts w:ascii="Arial" w:eastAsiaTheme="minorEastAsia" w:hAnsi="Arial" w:cs="Arial"/>
          <w:color w:val="auto"/>
          <w:sz w:val="24"/>
          <w:szCs w:val="24"/>
          <w:lang w:eastAsia="en-US"/>
        </w:rPr>
        <w:t xml:space="preserve"> it makes</w:t>
      </w:r>
      <w:r w:rsidRPr="004E22F6">
        <w:rPr>
          <w:rFonts w:ascii="Arial" w:eastAsiaTheme="minorEastAsia" w:hAnsi="Arial" w:cs="Arial"/>
          <w:color w:val="auto"/>
          <w:sz w:val="24"/>
          <w:szCs w:val="24"/>
          <w:lang w:eastAsia="en-US"/>
        </w:rPr>
        <w:t xml:space="preserve"> contradictory statements with regards to trends and reporting of crime and ASB</w:t>
      </w:r>
      <w:r>
        <w:rPr>
          <w:rFonts w:ascii="Arial" w:eastAsiaTheme="minorEastAsia" w:hAnsi="Arial" w:cs="Arial"/>
          <w:color w:val="auto"/>
          <w:sz w:val="24"/>
          <w:szCs w:val="24"/>
          <w:lang w:eastAsia="en-US"/>
        </w:rPr>
        <w:t xml:space="preserve"> in </w:t>
      </w:r>
      <w:proofErr w:type="gramStart"/>
      <w:r>
        <w:rPr>
          <w:rFonts w:ascii="Arial" w:eastAsiaTheme="minorEastAsia" w:hAnsi="Arial" w:cs="Arial"/>
          <w:color w:val="auto"/>
          <w:sz w:val="24"/>
          <w:szCs w:val="24"/>
          <w:lang w:eastAsia="en-US"/>
        </w:rPr>
        <w:t xml:space="preserve">NI </w:t>
      </w:r>
      <w:r w:rsidRPr="004E22F6">
        <w:rPr>
          <w:rFonts w:ascii="Arial" w:eastAsiaTheme="minorEastAsia" w:hAnsi="Arial" w:cs="Arial"/>
          <w:color w:val="auto"/>
          <w:sz w:val="24"/>
          <w:szCs w:val="24"/>
          <w:lang w:eastAsia="en-US"/>
        </w:rPr>
        <w:t>.</w:t>
      </w:r>
      <w:proofErr w:type="gramEnd"/>
      <w:r w:rsidRPr="004E22F6">
        <w:rPr>
          <w:rFonts w:ascii="Arial" w:eastAsiaTheme="minorEastAsia" w:hAnsi="Arial" w:cs="Arial"/>
          <w:color w:val="auto"/>
          <w:sz w:val="24"/>
          <w:szCs w:val="24"/>
          <w:lang w:eastAsia="en-US"/>
        </w:rPr>
        <w:t xml:space="preserve">  </w:t>
      </w:r>
    </w:p>
    <w:p w:rsidR="0097245A" w:rsidRPr="004E22F6" w:rsidRDefault="0097245A" w:rsidP="0097245A">
      <w:pPr>
        <w:pStyle w:val="legclearfix2"/>
        <w:spacing w:line="276" w:lineRule="auto"/>
        <w:rPr>
          <w:rFonts w:ascii="Arial" w:eastAsiaTheme="minorEastAsia" w:hAnsi="Arial" w:cs="Arial"/>
          <w:color w:val="auto"/>
          <w:sz w:val="24"/>
          <w:szCs w:val="24"/>
          <w:lang w:eastAsia="en-US"/>
        </w:rPr>
      </w:pPr>
      <w:r w:rsidRPr="004E22F6">
        <w:rPr>
          <w:rFonts w:ascii="Arial" w:eastAsiaTheme="minorEastAsia" w:hAnsi="Arial" w:cs="Arial"/>
          <w:color w:val="auto"/>
          <w:sz w:val="24"/>
          <w:szCs w:val="24"/>
          <w:lang w:eastAsia="en-US"/>
        </w:rPr>
        <w:t xml:space="preserve">NICCY does not view the decline in the use of legal remedies as a negative and instead </w:t>
      </w:r>
      <w:r>
        <w:rPr>
          <w:rFonts w:ascii="Arial" w:eastAsiaTheme="minorEastAsia" w:hAnsi="Arial" w:cs="Arial"/>
          <w:color w:val="auto"/>
          <w:sz w:val="24"/>
          <w:szCs w:val="24"/>
          <w:lang w:eastAsia="en-US"/>
        </w:rPr>
        <w:t>welcomes</w:t>
      </w:r>
      <w:r w:rsidRPr="004E22F6">
        <w:rPr>
          <w:rFonts w:ascii="Arial" w:eastAsiaTheme="minorEastAsia" w:hAnsi="Arial" w:cs="Arial"/>
          <w:color w:val="auto"/>
          <w:sz w:val="24"/>
          <w:szCs w:val="24"/>
          <w:lang w:eastAsia="en-US"/>
        </w:rPr>
        <w:t xml:space="preserve"> this trend.  Paragraph </w:t>
      </w:r>
      <w:r w:rsidRPr="007E076B">
        <w:rPr>
          <w:rFonts w:ascii="Arial" w:eastAsiaTheme="minorEastAsia" w:hAnsi="Arial" w:cs="Arial"/>
          <w:b/>
          <w:color w:val="auto"/>
          <w:sz w:val="24"/>
          <w:szCs w:val="24"/>
          <w:lang w:eastAsia="en-US"/>
        </w:rPr>
        <w:t>3.10</w:t>
      </w:r>
      <w:r w:rsidRPr="004E22F6">
        <w:rPr>
          <w:rFonts w:ascii="Arial" w:eastAsiaTheme="minorEastAsia" w:hAnsi="Arial" w:cs="Arial"/>
          <w:color w:val="auto"/>
          <w:sz w:val="24"/>
          <w:szCs w:val="24"/>
          <w:lang w:eastAsia="en-US"/>
        </w:rPr>
        <w:t xml:space="preserve"> raises very significant concerns and NICCY would be grateful if the department can provide </w:t>
      </w:r>
      <w:r>
        <w:rPr>
          <w:rFonts w:ascii="Arial" w:eastAsiaTheme="minorEastAsia" w:hAnsi="Arial" w:cs="Arial"/>
          <w:color w:val="auto"/>
          <w:sz w:val="24"/>
          <w:szCs w:val="24"/>
          <w:lang w:eastAsia="en-US"/>
        </w:rPr>
        <w:t>further clarification</w:t>
      </w:r>
      <w:r w:rsidRPr="004E22F6">
        <w:rPr>
          <w:rFonts w:ascii="Arial" w:eastAsiaTheme="minorEastAsia" w:hAnsi="Arial" w:cs="Arial"/>
          <w:color w:val="auto"/>
          <w:sz w:val="24"/>
          <w:szCs w:val="24"/>
          <w:lang w:eastAsia="en-US"/>
        </w:rPr>
        <w:t xml:space="preserve"> for the assertion that </w:t>
      </w:r>
      <w:r w:rsidRPr="004E22F6">
        <w:rPr>
          <w:rFonts w:ascii="Arial" w:eastAsiaTheme="minorEastAsia" w:hAnsi="Arial" w:cs="Arial"/>
          <w:i/>
          <w:color w:val="auto"/>
          <w:sz w:val="24"/>
          <w:szCs w:val="24"/>
          <w:lang w:eastAsia="en-US"/>
        </w:rPr>
        <w:t>“commentary from stakeholders indicates that there are limited instant solutions when all other current advice, guidance and diversion strategies have been exhausted</w:t>
      </w:r>
      <w:r w:rsidRPr="004E22F6">
        <w:rPr>
          <w:rFonts w:ascii="Arial" w:eastAsiaTheme="minorEastAsia" w:hAnsi="Arial" w:cs="Arial"/>
          <w:color w:val="auto"/>
          <w:sz w:val="24"/>
          <w:szCs w:val="24"/>
          <w:lang w:eastAsia="en-US"/>
        </w:rPr>
        <w:t xml:space="preserve">”.  </w:t>
      </w:r>
      <w:r>
        <w:rPr>
          <w:rFonts w:ascii="Arial" w:eastAsiaTheme="minorEastAsia" w:hAnsi="Arial" w:cs="Arial"/>
          <w:color w:val="auto"/>
          <w:sz w:val="24"/>
          <w:szCs w:val="24"/>
          <w:lang w:eastAsia="en-US"/>
        </w:rPr>
        <w:t>We would particularly welcome further information on the identity of the stakeholders and nature of their commentary.  The Commissioner also believes that “i</w:t>
      </w:r>
      <w:r w:rsidRPr="004E22F6">
        <w:rPr>
          <w:rFonts w:ascii="Arial" w:eastAsiaTheme="minorEastAsia" w:hAnsi="Arial" w:cs="Arial"/>
          <w:color w:val="auto"/>
          <w:sz w:val="24"/>
          <w:szCs w:val="24"/>
          <w:lang w:eastAsia="en-US"/>
        </w:rPr>
        <w:t>nstant solutions</w:t>
      </w:r>
      <w:r>
        <w:rPr>
          <w:rFonts w:ascii="Arial" w:eastAsiaTheme="minorEastAsia" w:hAnsi="Arial" w:cs="Arial"/>
          <w:color w:val="auto"/>
          <w:sz w:val="24"/>
          <w:szCs w:val="24"/>
          <w:lang w:eastAsia="en-US"/>
        </w:rPr>
        <w:t>”</w:t>
      </w:r>
      <w:r w:rsidRPr="004E22F6">
        <w:rPr>
          <w:rFonts w:ascii="Arial" w:eastAsiaTheme="minorEastAsia" w:hAnsi="Arial" w:cs="Arial"/>
          <w:color w:val="auto"/>
          <w:sz w:val="24"/>
          <w:szCs w:val="24"/>
          <w:lang w:eastAsia="en-US"/>
        </w:rPr>
        <w:t xml:space="preserve"> fo</w:t>
      </w:r>
      <w:r>
        <w:rPr>
          <w:rFonts w:ascii="Arial" w:eastAsiaTheme="minorEastAsia" w:hAnsi="Arial" w:cs="Arial"/>
          <w:color w:val="auto"/>
          <w:sz w:val="24"/>
          <w:szCs w:val="24"/>
          <w:lang w:eastAsia="en-US"/>
        </w:rPr>
        <w:t>r children and young people should</w:t>
      </w:r>
      <w:r w:rsidRPr="004E22F6">
        <w:rPr>
          <w:rFonts w:ascii="Arial" w:eastAsiaTheme="minorEastAsia" w:hAnsi="Arial" w:cs="Arial"/>
          <w:color w:val="auto"/>
          <w:sz w:val="24"/>
          <w:szCs w:val="24"/>
          <w:lang w:eastAsia="en-US"/>
        </w:rPr>
        <w:t xml:space="preserve"> </w:t>
      </w:r>
      <w:r>
        <w:rPr>
          <w:rFonts w:ascii="Arial" w:eastAsiaTheme="minorEastAsia" w:hAnsi="Arial" w:cs="Arial"/>
          <w:color w:val="auto"/>
          <w:sz w:val="24"/>
          <w:szCs w:val="24"/>
          <w:lang w:eastAsia="en-US"/>
        </w:rPr>
        <w:t xml:space="preserve">be used sparingly as interventions must </w:t>
      </w:r>
      <w:r w:rsidRPr="004E22F6">
        <w:rPr>
          <w:rFonts w:ascii="Arial" w:eastAsiaTheme="minorEastAsia" w:hAnsi="Arial" w:cs="Arial"/>
          <w:color w:val="auto"/>
          <w:sz w:val="24"/>
          <w:szCs w:val="24"/>
          <w:lang w:eastAsia="en-US"/>
        </w:rPr>
        <w:t xml:space="preserve">be based on </w:t>
      </w:r>
      <w:proofErr w:type="gramStart"/>
      <w:r w:rsidRPr="004E22F6">
        <w:rPr>
          <w:rFonts w:ascii="Arial" w:eastAsiaTheme="minorEastAsia" w:hAnsi="Arial" w:cs="Arial"/>
          <w:color w:val="auto"/>
          <w:sz w:val="24"/>
          <w:szCs w:val="24"/>
          <w:lang w:eastAsia="en-US"/>
        </w:rPr>
        <w:t>the a</w:t>
      </w:r>
      <w:proofErr w:type="gramEnd"/>
      <w:r w:rsidRPr="004E22F6">
        <w:rPr>
          <w:rFonts w:ascii="Arial" w:eastAsiaTheme="minorEastAsia" w:hAnsi="Arial" w:cs="Arial"/>
          <w:color w:val="auto"/>
          <w:sz w:val="24"/>
          <w:szCs w:val="24"/>
          <w:lang w:eastAsia="en-US"/>
        </w:rPr>
        <w:t xml:space="preserve"> clear assessment of the needs of the child and their family.  </w:t>
      </w:r>
    </w:p>
    <w:p w:rsidR="0097245A" w:rsidRDefault="0097245A" w:rsidP="0097245A">
      <w:pPr>
        <w:spacing w:after="240" w:line="276" w:lineRule="auto"/>
        <w:rPr>
          <w:rFonts w:ascii="Arial" w:eastAsiaTheme="minorEastAsia" w:hAnsi="Arial" w:cs="Arial"/>
          <w:sz w:val="24"/>
          <w:szCs w:val="24"/>
        </w:rPr>
      </w:pPr>
      <w:r w:rsidRPr="004E22F6">
        <w:rPr>
          <w:rFonts w:ascii="Arial" w:eastAsiaTheme="minorEastAsia" w:hAnsi="Arial" w:cs="Arial"/>
          <w:sz w:val="24"/>
          <w:szCs w:val="24"/>
        </w:rPr>
        <w:t xml:space="preserve">There is insufficient evidence in the document with regards to the need for additional legislation, the challenges of implementing the part 5 of the Criminal Justice (NI) order, 2008 or the effectiveness of the GB legislation and the need to apply it in Northern Ireland.  </w:t>
      </w:r>
      <w:r>
        <w:rPr>
          <w:rFonts w:ascii="Arial" w:eastAsiaTheme="minorEastAsia" w:hAnsi="Arial" w:cs="Arial"/>
          <w:sz w:val="24"/>
          <w:szCs w:val="24"/>
        </w:rPr>
        <w:t>This lack of information and data makes it</w:t>
      </w:r>
      <w:r w:rsidRPr="004E22F6">
        <w:rPr>
          <w:rFonts w:ascii="Arial" w:eastAsiaTheme="minorEastAsia" w:hAnsi="Arial" w:cs="Arial"/>
          <w:sz w:val="24"/>
          <w:szCs w:val="24"/>
        </w:rPr>
        <w:t xml:space="preserve"> difficult for consultees to answer the questions posed.</w:t>
      </w:r>
    </w:p>
    <w:p w:rsidR="0097245A" w:rsidRPr="004E22F6" w:rsidRDefault="0097245A" w:rsidP="0097245A">
      <w:pPr>
        <w:spacing w:after="240" w:line="276" w:lineRule="auto"/>
        <w:rPr>
          <w:rFonts w:ascii="Arial" w:eastAsiaTheme="minorEastAsia" w:hAnsi="Arial" w:cs="Arial"/>
          <w:sz w:val="24"/>
          <w:szCs w:val="24"/>
        </w:rPr>
      </w:pPr>
      <w:r>
        <w:rPr>
          <w:rFonts w:ascii="Arial" w:eastAsiaTheme="minorEastAsia" w:hAnsi="Arial" w:cs="Arial"/>
          <w:sz w:val="24"/>
          <w:szCs w:val="24"/>
        </w:rPr>
        <w:t>It is not our</w:t>
      </w:r>
      <w:r w:rsidRPr="004E22F6">
        <w:rPr>
          <w:rFonts w:ascii="Arial" w:eastAsiaTheme="minorEastAsia" w:hAnsi="Arial" w:cs="Arial"/>
          <w:sz w:val="24"/>
          <w:szCs w:val="24"/>
        </w:rPr>
        <w:t xml:space="preserve"> intention to address all three proposed order</w:t>
      </w:r>
      <w:r>
        <w:rPr>
          <w:rFonts w:ascii="Arial" w:eastAsiaTheme="minorEastAsia" w:hAnsi="Arial" w:cs="Arial"/>
          <w:sz w:val="24"/>
          <w:szCs w:val="24"/>
        </w:rPr>
        <w:t>s but</w:t>
      </w:r>
      <w:r w:rsidRPr="004E22F6">
        <w:rPr>
          <w:rFonts w:ascii="Arial" w:eastAsiaTheme="minorEastAsia" w:hAnsi="Arial" w:cs="Arial"/>
          <w:sz w:val="24"/>
          <w:szCs w:val="24"/>
        </w:rPr>
        <w:t xml:space="preserve"> do wish to raise concerns with regards to Criminal Behaviour Orders.  In the discussion of </w:t>
      </w:r>
      <w:r>
        <w:rPr>
          <w:rFonts w:ascii="Arial" w:eastAsiaTheme="minorEastAsia" w:hAnsi="Arial" w:cs="Arial"/>
          <w:sz w:val="24"/>
          <w:szCs w:val="24"/>
        </w:rPr>
        <w:t>CBOs</w:t>
      </w:r>
      <w:r w:rsidRPr="004E22F6">
        <w:rPr>
          <w:rFonts w:ascii="Arial" w:eastAsiaTheme="minorEastAsia" w:hAnsi="Arial" w:cs="Arial"/>
          <w:sz w:val="24"/>
          <w:szCs w:val="24"/>
        </w:rPr>
        <w:t xml:space="preserve"> there is no recognition that the Youth Justice System in NI has a range of criminal orders which provide for the programmes outline</w:t>
      </w:r>
      <w:r>
        <w:rPr>
          <w:rFonts w:ascii="Arial" w:eastAsiaTheme="minorEastAsia" w:hAnsi="Arial" w:cs="Arial"/>
          <w:sz w:val="24"/>
          <w:szCs w:val="24"/>
        </w:rPr>
        <w:t>d in the document,</w:t>
      </w:r>
      <w:r w:rsidRPr="004E22F6">
        <w:rPr>
          <w:rFonts w:ascii="Arial" w:eastAsiaTheme="minorEastAsia" w:hAnsi="Arial" w:cs="Arial"/>
          <w:sz w:val="24"/>
          <w:szCs w:val="24"/>
        </w:rPr>
        <w:t xml:space="preserve"> particularly to youth conference orders (both diversionary and on conviction) as well as to the period of supervi</w:t>
      </w:r>
      <w:r>
        <w:rPr>
          <w:rFonts w:ascii="Arial" w:eastAsiaTheme="minorEastAsia" w:hAnsi="Arial" w:cs="Arial"/>
          <w:sz w:val="24"/>
          <w:szCs w:val="24"/>
        </w:rPr>
        <w:t xml:space="preserve">sion that a young person on a </w:t>
      </w:r>
      <w:r w:rsidRPr="004E22F6">
        <w:rPr>
          <w:rFonts w:ascii="Arial" w:eastAsiaTheme="minorEastAsia" w:hAnsi="Arial" w:cs="Arial"/>
          <w:sz w:val="24"/>
          <w:szCs w:val="24"/>
        </w:rPr>
        <w:t xml:space="preserve">JJC order is subject to when released.  </w:t>
      </w:r>
      <w:r>
        <w:rPr>
          <w:rFonts w:ascii="Arial" w:eastAsiaTheme="minorEastAsia" w:hAnsi="Arial" w:cs="Arial"/>
          <w:sz w:val="24"/>
          <w:szCs w:val="24"/>
        </w:rPr>
        <w:t xml:space="preserve">Therefore the Commissioner is unclear as to the merits of another order for young people who have been convicted. </w:t>
      </w:r>
    </w:p>
    <w:p w:rsidR="0097245A" w:rsidRPr="004E22F6" w:rsidRDefault="0097245A" w:rsidP="0097245A">
      <w:pPr>
        <w:spacing w:line="276" w:lineRule="auto"/>
        <w:rPr>
          <w:rFonts w:ascii="Arial" w:eastAsiaTheme="minorEastAsia" w:hAnsi="Arial" w:cs="Arial"/>
          <w:sz w:val="24"/>
          <w:szCs w:val="24"/>
        </w:rPr>
      </w:pPr>
      <w:r w:rsidRPr="004E22F6">
        <w:rPr>
          <w:rFonts w:ascii="Arial" w:eastAsiaTheme="minorEastAsia" w:hAnsi="Arial" w:cs="Arial"/>
          <w:sz w:val="24"/>
          <w:szCs w:val="24"/>
        </w:rPr>
        <w:lastRenderedPageBreak/>
        <w:t xml:space="preserve">There also seems to be no understanding of the welcome amendment in 2015 of the Justice (NI) Act, 2002 to incorporate article 3 of the UNCRC (best </w:t>
      </w:r>
      <w:proofErr w:type="gramStart"/>
      <w:r w:rsidRPr="004E22F6">
        <w:rPr>
          <w:rFonts w:ascii="Arial" w:eastAsiaTheme="minorEastAsia" w:hAnsi="Arial" w:cs="Arial"/>
          <w:sz w:val="24"/>
          <w:szCs w:val="24"/>
        </w:rPr>
        <w:t>interest</w:t>
      </w:r>
      <w:r>
        <w:rPr>
          <w:rFonts w:ascii="Arial" w:eastAsiaTheme="minorEastAsia" w:hAnsi="Arial" w:cs="Arial"/>
          <w:sz w:val="24"/>
          <w:szCs w:val="24"/>
        </w:rPr>
        <w:t>s</w:t>
      </w:r>
      <w:proofErr w:type="gramEnd"/>
      <w:r w:rsidRPr="004E22F6">
        <w:rPr>
          <w:rFonts w:ascii="Arial" w:eastAsiaTheme="minorEastAsia" w:hAnsi="Arial" w:cs="Arial"/>
          <w:sz w:val="24"/>
          <w:szCs w:val="24"/>
        </w:rPr>
        <w:t xml:space="preserve"> principle) as a core aim of the youth justice system.  </w:t>
      </w:r>
    </w:p>
    <w:p w:rsidR="0097245A" w:rsidRPr="0097245A" w:rsidRDefault="0097245A" w:rsidP="0097245A">
      <w:pPr>
        <w:pStyle w:val="legp2paratext"/>
        <w:spacing w:before="0" w:beforeAutospacing="0" w:after="0" w:afterAutospacing="0" w:line="276" w:lineRule="auto"/>
        <w:ind w:firstLine="720"/>
        <w:rPr>
          <w:rFonts w:ascii="Arial" w:hAnsi="Arial" w:cs="Arial"/>
          <w:i/>
          <w:lang w:val="en"/>
        </w:rPr>
      </w:pPr>
      <w:r w:rsidRPr="0097245A">
        <w:rPr>
          <w:rStyle w:val="legamendquote"/>
          <w:rFonts w:ascii="Arial" w:hAnsi="Arial" w:cs="Arial"/>
          <w:i/>
          <w:lang w:val="en"/>
        </w:rPr>
        <w:t>“</w:t>
      </w:r>
      <w:r w:rsidRPr="0097245A">
        <w:rPr>
          <w:rStyle w:val="legamendingtext"/>
          <w:rFonts w:ascii="Arial" w:eastAsiaTheme="minorEastAsia" w:hAnsi="Arial" w:cs="Arial"/>
          <w:i/>
          <w:lang w:val="en"/>
        </w:rPr>
        <w:t>(3)</w:t>
      </w:r>
      <w:r w:rsidRPr="0097245A">
        <w:rPr>
          <w:rFonts w:ascii="Arial" w:hAnsi="Arial" w:cs="Arial"/>
          <w:i/>
          <w:lang w:val="en"/>
        </w:rPr>
        <w:t xml:space="preserve"> </w:t>
      </w:r>
      <w:r w:rsidRPr="0097245A">
        <w:rPr>
          <w:rStyle w:val="legamendingtext"/>
          <w:rFonts w:ascii="Arial" w:eastAsiaTheme="minorEastAsia" w:hAnsi="Arial" w:cs="Arial"/>
          <w:i/>
          <w:lang w:val="en"/>
        </w:rPr>
        <w:t>But all such persons and bodies must also—</w:t>
      </w:r>
      <w:r w:rsidRPr="0097245A">
        <w:rPr>
          <w:rFonts w:ascii="Arial" w:hAnsi="Arial" w:cs="Arial"/>
          <w:i/>
          <w:lang w:val="en"/>
        </w:rPr>
        <w:t xml:space="preserve"> </w:t>
      </w:r>
    </w:p>
    <w:p w:rsidR="0097245A" w:rsidRPr="0097245A" w:rsidRDefault="0097245A" w:rsidP="0097245A">
      <w:pPr>
        <w:pStyle w:val="legclearfix"/>
        <w:spacing w:before="0" w:beforeAutospacing="0" w:after="240" w:afterAutospacing="0" w:line="276" w:lineRule="auto"/>
        <w:ind w:left="720" w:firstLine="720"/>
        <w:rPr>
          <w:rFonts w:ascii="Arial" w:hAnsi="Arial" w:cs="Arial"/>
          <w:i/>
          <w:lang w:val="en"/>
        </w:rPr>
      </w:pPr>
      <w:r w:rsidRPr="0097245A">
        <w:rPr>
          <w:rStyle w:val="legamendingtext"/>
          <w:rFonts w:ascii="Arial" w:eastAsiaTheme="minorEastAsia" w:hAnsi="Arial" w:cs="Arial"/>
          <w:i/>
          <w:lang w:val="en"/>
        </w:rPr>
        <w:t>(a</w:t>
      </w:r>
      <w:proofErr w:type="gramStart"/>
      <w:r w:rsidRPr="0097245A">
        <w:rPr>
          <w:rStyle w:val="legamendingtext"/>
          <w:rFonts w:ascii="Arial" w:eastAsiaTheme="minorEastAsia" w:hAnsi="Arial" w:cs="Arial"/>
          <w:i/>
          <w:lang w:val="en"/>
        </w:rPr>
        <w:t>)have</w:t>
      </w:r>
      <w:proofErr w:type="gramEnd"/>
      <w:r w:rsidRPr="0097245A">
        <w:rPr>
          <w:rStyle w:val="legamendingtext"/>
          <w:rFonts w:ascii="Arial" w:eastAsiaTheme="minorEastAsia" w:hAnsi="Arial" w:cs="Arial"/>
          <w:i/>
          <w:lang w:val="en"/>
        </w:rPr>
        <w:t xml:space="preserve"> the best interests of children as a primary consideration; and</w:t>
      </w:r>
    </w:p>
    <w:p w:rsidR="0097245A" w:rsidRPr="0097245A" w:rsidRDefault="0097245A" w:rsidP="0097245A">
      <w:pPr>
        <w:pStyle w:val="legclearfix"/>
        <w:spacing w:before="0" w:beforeAutospacing="0" w:after="240" w:afterAutospacing="0" w:line="276" w:lineRule="auto"/>
        <w:ind w:left="1440"/>
        <w:rPr>
          <w:rFonts w:ascii="Arial" w:hAnsi="Arial" w:cs="Arial"/>
          <w:i/>
          <w:lang w:val="en"/>
        </w:rPr>
      </w:pPr>
      <w:r w:rsidRPr="0097245A">
        <w:rPr>
          <w:rStyle w:val="legamendingtext"/>
          <w:rFonts w:ascii="Arial" w:eastAsiaTheme="minorEastAsia" w:hAnsi="Arial" w:cs="Arial"/>
          <w:i/>
          <w:lang w:val="en"/>
        </w:rPr>
        <w:t>(b</w:t>
      </w:r>
      <w:proofErr w:type="gramStart"/>
      <w:r w:rsidRPr="0097245A">
        <w:rPr>
          <w:rStyle w:val="legamendingtext"/>
          <w:rFonts w:ascii="Arial" w:eastAsiaTheme="minorEastAsia" w:hAnsi="Arial" w:cs="Arial"/>
          <w:i/>
          <w:lang w:val="en"/>
        </w:rPr>
        <w:t>)have</w:t>
      </w:r>
      <w:proofErr w:type="gramEnd"/>
      <w:r w:rsidRPr="0097245A">
        <w:rPr>
          <w:rStyle w:val="legamendingtext"/>
          <w:rFonts w:ascii="Arial" w:eastAsiaTheme="minorEastAsia" w:hAnsi="Arial" w:cs="Arial"/>
          <w:i/>
          <w:lang w:val="en"/>
        </w:rPr>
        <w:t xml:space="preserve"> regard to the welfare of children affected by the exercise of their functions (and to the general principle that any delay in dealing with children is likely to prejudice their welfare), with a view (in particular) to furthering their personal, social and educational development.</w:t>
      </w:r>
      <w:r w:rsidRPr="0097245A">
        <w:rPr>
          <w:rStyle w:val="legamendquote"/>
          <w:rFonts w:ascii="Arial" w:hAnsi="Arial" w:cs="Arial"/>
          <w:i/>
          <w:lang w:val="en"/>
        </w:rPr>
        <w:t>”</w:t>
      </w:r>
      <w:r w:rsidRPr="0097245A">
        <w:rPr>
          <w:rStyle w:val="FootnoteReference"/>
          <w:rFonts w:ascii="Arial" w:eastAsiaTheme="minorEastAsia" w:hAnsi="Arial" w:cs="Arial"/>
          <w:i/>
          <w:lang w:val="en"/>
        </w:rPr>
        <w:footnoteReference w:id="4"/>
      </w:r>
    </w:p>
    <w:p w:rsidR="0097245A" w:rsidRPr="004E22F6" w:rsidRDefault="0097245A" w:rsidP="0097245A">
      <w:pPr>
        <w:spacing w:line="276" w:lineRule="auto"/>
        <w:rPr>
          <w:rFonts w:ascii="Arial" w:eastAsiaTheme="minorEastAsia" w:hAnsi="Arial" w:cs="Arial"/>
          <w:sz w:val="24"/>
          <w:szCs w:val="24"/>
        </w:rPr>
      </w:pPr>
      <w:r w:rsidRPr="004E22F6">
        <w:rPr>
          <w:rFonts w:ascii="Arial" w:eastAsiaTheme="minorEastAsia" w:hAnsi="Arial" w:cs="Arial"/>
          <w:sz w:val="24"/>
          <w:szCs w:val="24"/>
        </w:rPr>
        <w:t xml:space="preserve">If due consideration </w:t>
      </w:r>
      <w:r>
        <w:rPr>
          <w:rFonts w:ascii="Arial" w:eastAsiaTheme="minorEastAsia" w:hAnsi="Arial" w:cs="Arial"/>
          <w:sz w:val="24"/>
          <w:szCs w:val="24"/>
        </w:rPr>
        <w:t>had been</w:t>
      </w:r>
      <w:r w:rsidRPr="004E22F6">
        <w:rPr>
          <w:rFonts w:ascii="Arial" w:eastAsiaTheme="minorEastAsia" w:hAnsi="Arial" w:cs="Arial"/>
          <w:sz w:val="24"/>
          <w:szCs w:val="24"/>
        </w:rPr>
        <w:t xml:space="preserve"> given to this duty by the department it is likely that </w:t>
      </w:r>
      <w:r w:rsidR="00107F0E">
        <w:rPr>
          <w:rFonts w:ascii="Arial" w:eastAsiaTheme="minorEastAsia" w:hAnsi="Arial" w:cs="Arial"/>
          <w:sz w:val="24"/>
          <w:szCs w:val="24"/>
        </w:rPr>
        <w:t xml:space="preserve">the provision </w:t>
      </w:r>
      <w:r w:rsidRPr="004E22F6">
        <w:rPr>
          <w:rFonts w:ascii="Arial" w:eastAsiaTheme="minorEastAsia" w:hAnsi="Arial" w:cs="Arial"/>
          <w:sz w:val="24"/>
          <w:szCs w:val="24"/>
        </w:rPr>
        <w:t xml:space="preserve">outlined in paragraph </w:t>
      </w:r>
      <w:r w:rsidRPr="00F70395">
        <w:rPr>
          <w:rFonts w:ascii="Arial" w:eastAsiaTheme="minorEastAsia" w:hAnsi="Arial" w:cs="Arial"/>
          <w:b/>
          <w:sz w:val="24"/>
          <w:szCs w:val="24"/>
        </w:rPr>
        <w:t>5.8</w:t>
      </w:r>
      <w:r w:rsidRPr="004E22F6">
        <w:rPr>
          <w:rFonts w:ascii="Arial" w:eastAsiaTheme="minorEastAsia" w:hAnsi="Arial" w:cs="Arial"/>
          <w:sz w:val="24"/>
          <w:szCs w:val="24"/>
        </w:rPr>
        <w:t xml:space="preserve"> to consider publicising a CBO would be dismissed as not appropriate in Northern Ireland.  </w:t>
      </w:r>
      <w:r>
        <w:rPr>
          <w:rFonts w:ascii="Arial" w:eastAsiaTheme="minorEastAsia" w:hAnsi="Arial" w:cs="Arial"/>
          <w:sz w:val="24"/>
          <w:szCs w:val="24"/>
        </w:rPr>
        <w:t>The</w:t>
      </w:r>
      <w:r w:rsidRPr="004E22F6">
        <w:rPr>
          <w:rFonts w:ascii="Arial" w:eastAsiaTheme="minorEastAsia" w:hAnsi="Arial" w:cs="Arial"/>
          <w:sz w:val="24"/>
          <w:szCs w:val="24"/>
        </w:rPr>
        <w:t xml:space="preserve"> UNCRC is </w:t>
      </w:r>
      <w:r>
        <w:rPr>
          <w:rFonts w:ascii="Arial" w:eastAsiaTheme="minorEastAsia" w:hAnsi="Arial" w:cs="Arial"/>
          <w:sz w:val="24"/>
          <w:szCs w:val="24"/>
        </w:rPr>
        <w:t xml:space="preserve">very </w:t>
      </w:r>
      <w:r w:rsidRPr="004E22F6">
        <w:rPr>
          <w:rFonts w:ascii="Arial" w:eastAsiaTheme="minorEastAsia" w:hAnsi="Arial" w:cs="Arial"/>
          <w:sz w:val="24"/>
          <w:szCs w:val="24"/>
        </w:rPr>
        <w:t>clear</w:t>
      </w:r>
      <w:r>
        <w:rPr>
          <w:rFonts w:ascii="Arial" w:eastAsiaTheme="minorEastAsia" w:hAnsi="Arial" w:cs="Arial"/>
          <w:sz w:val="24"/>
          <w:szCs w:val="24"/>
        </w:rPr>
        <w:t xml:space="preserve"> on the issue of a child’s right to privacy and states</w:t>
      </w:r>
      <w:r w:rsidRPr="004E22F6">
        <w:rPr>
          <w:rFonts w:ascii="Arial" w:eastAsiaTheme="minorEastAsia" w:hAnsi="Arial" w:cs="Arial"/>
          <w:sz w:val="24"/>
          <w:szCs w:val="24"/>
        </w:rPr>
        <w:t xml:space="preserve"> that:</w:t>
      </w:r>
    </w:p>
    <w:p w:rsidR="0097245A" w:rsidRPr="004E22F6" w:rsidRDefault="0097245A" w:rsidP="0097245A">
      <w:pPr>
        <w:pStyle w:val="ListParagraph"/>
        <w:numPr>
          <w:ilvl w:val="0"/>
          <w:numId w:val="44"/>
        </w:numPr>
        <w:spacing w:after="160" w:line="276" w:lineRule="auto"/>
        <w:rPr>
          <w:rFonts w:ascii="Arial" w:eastAsiaTheme="minorEastAsia" w:hAnsi="Arial" w:cs="Arial"/>
          <w:sz w:val="24"/>
          <w:szCs w:val="24"/>
        </w:rPr>
      </w:pPr>
      <w:proofErr w:type="gramStart"/>
      <w:r w:rsidRPr="00107F0E">
        <w:rPr>
          <w:rFonts w:ascii="Arial" w:eastAsiaTheme="minorEastAsia" w:hAnsi="Arial" w:cs="Arial"/>
          <w:i/>
          <w:sz w:val="24"/>
          <w:szCs w:val="24"/>
        </w:rPr>
        <w:t>a</w:t>
      </w:r>
      <w:proofErr w:type="gramEnd"/>
      <w:r w:rsidRPr="00107F0E">
        <w:rPr>
          <w:rFonts w:ascii="Arial" w:eastAsiaTheme="minorEastAsia" w:hAnsi="Arial" w:cs="Arial"/>
          <w:i/>
          <w:sz w:val="24"/>
          <w:szCs w:val="24"/>
        </w:rPr>
        <w:t xml:space="preserve"> child shall not be subject to arbitrary or unlawful interference with his or her privacy, family, home ….</w:t>
      </w:r>
      <w:r w:rsidRPr="004E22F6">
        <w:rPr>
          <w:rFonts w:ascii="Arial" w:eastAsiaTheme="minorEastAsia" w:hAnsi="Arial" w:cs="Arial"/>
          <w:sz w:val="24"/>
          <w:szCs w:val="24"/>
        </w:rPr>
        <w:t xml:space="preserve">. (Article 16) and that </w:t>
      </w:r>
    </w:p>
    <w:p w:rsidR="0097245A" w:rsidRPr="004E22F6" w:rsidRDefault="0097245A" w:rsidP="0097245A">
      <w:pPr>
        <w:pStyle w:val="ListParagraph"/>
        <w:numPr>
          <w:ilvl w:val="0"/>
          <w:numId w:val="44"/>
        </w:numPr>
        <w:spacing w:after="160" w:line="276" w:lineRule="auto"/>
        <w:rPr>
          <w:rFonts w:ascii="Arial" w:eastAsiaTheme="minorEastAsia" w:hAnsi="Arial" w:cs="Arial"/>
          <w:sz w:val="24"/>
          <w:szCs w:val="24"/>
        </w:rPr>
      </w:pPr>
      <w:r w:rsidRPr="00107F0E">
        <w:rPr>
          <w:rFonts w:ascii="Arial" w:eastAsiaTheme="minorEastAsia" w:hAnsi="Arial" w:cs="Arial"/>
          <w:i/>
          <w:sz w:val="24"/>
          <w:szCs w:val="24"/>
        </w:rPr>
        <w:t>the state guarantees “to have his or her privacy fully respected at all stages of the proceedings</w:t>
      </w:r>
      <w:r w:rsidRPr="004E22F6">
        <w:rPr>
          <w:rFonts w:ascii="Arial" w:eastAsiaTheme="minorEastAsia" w:hAnsi="Arial" w:cs="Arial"/>
          <w:sz w:val="24"/>
          <w:szCs w:val="24"/>
        </w:rPr>
        <w:t xml:space="preserve">” (Article 40 (2)(b)(vii) </w:t>
      </w:r>
    </w:p>
    <w:p w:rsidR="0097245A" w:rsidRPr="004E22F6" w:rsidRDefault="0097245A" w:rsidP="0097245A">
      <w:pPr>
        <w:spacing w:line="276" w:lineRule="auto"/>
        <w:rPr>
          <w:rFonts w:ascii="Arial" w:hAnsi="Arial" w:cs="Arial"/>
        </w:rPr>
      </w:pPr>
      <w:r w:rsidRPr="004E22F6">
        <w:rPr>
          <w:rFonts w:ascii="Arial" w:hAnsi="Arial" w:cs="Arial"/>
          <w:sz w:val="24"/>
          <w:szCs w:val="24"/>
        </w:rPr>
        <w:t>One of the greatest children’s rights concerns</w:t>
      </w:r>
      <w:r>
        <w:rPr>
          <w:rFonts w:ascii="Arial" w:hAnsi="Arial" w:cs="Arial"/>
          <w:sz w:val="24"/>
          <w:szCs w:val="24"/>
        </w:rPr>
        <w:t xml:space="preserve"> with regard to the use of ASBO</w:t>
      </w:r>
      <w:r w:rsidRPr="004E22F6">
        <w:rPr>
          <w:rFonts w:ascii="Arial" w:hAnsi="Arial" w:cs="Arial"/>
          <w:sz w:val="24"/>
          <w:szCs w:val="24"/>
        </w:rPr>
        <w:t xml:space="preserve">s in Northern Ireland is the fact that there are no </w:t>
      </w:r>
      <w:r>
        <w:rPr>
          <w:rFonts w:ascii="Arial" w:hAnsi="Arial" w:cs="Arial"/>
          <w:sz w:val="24"/>
          <w:szCs w:val="24"/>
        </w:rPr>
        <w:t>mandatory</w:t>
      </w:r>
      <w:r w:rsidRPr="004E22F6">
        <w:rPr>
          <w:rFonts w:ascii="Arial" w:hAnsi="Arial" w:cs="Arial"/>
          <w:sz w:val="24"/>
          <w:szCs w:val="24"/>
        </w:rPr>
        <w:t xml:space="preserve"> reporting restrictions in </w:t>
      </w:r>
      <w:r w:rsidR="00107F0E">
        <w:rPr>
          <w:rFonts w:ascii="Arial" w:hAnsi="Arial" w:cs="Arial"/>
          <w:sz w:val="24"/>
          <w:szCs w:val="24"/>
        </w:rPr>
        <w:t>such</w:t>
      </w:r>
      <w:r>
        <w:rPr>
          <w:rFonts w:ascii="Arial" w:hAnsi="Arial" w:cs="Arial"/>
          <w:sz w:val="24"/>
          <w:szCs w:val="24"/>
        </w:rPr>
        <w:t xml:space="preserve"> proceedings against a child</w:t>
      </w:r>
      <w:r w:rsidRPr="004E22F6">
        <w:rPr>
          <w:rFonts w:ascii="Arial" w:hAnsi="Arial" w:cs="Arial"/>
          <w:sz w:val="24"/>
          <w:szCs w:val="24"/>
        </w:rPr>
        <w:t xml:space="preserve">. </w:t>
      </w:r>
      <w:r w:rsidR="00107F0E">
        <w:rPr>
          <w:rFonts w:ascii="Arial" w:hAnsi="Arial" w:cs="Arial"/>
          <w:sz w:val="24"/>
          <w:szCs w:val="24"/>
        </w:rPr>
        <w:t xml:space="preserve"> </w:t>
      </w:r>
      <w:r w:rsidRPr="004E22F6">
        <w:rPr>
          <w:rFonts w:ascii="Arial" w:hAnsi="Arial" w:cs="Arial"/>
          <w:sz w:val="24"/>
          <w:szCs w:val="24"/>
        </w:rPr>
        <w:t>NICCY engages with children and young people across NI on a regular basis and</w:t>
      </w:r>
      <w:r w:rsidR="00107F0E">
        <w:rPr>
          <w:rFonts w:ascii="Arial" w:hAnsi="Arial" w:cs="Arial"/>
          <w:sz w:val="24"/>
          <w:szCs w:val="24"/>
        </w:rPr>
        <w:t>,</w:t>
      </w:r>
      <w:r w:rsidRPr="004E22F6">
        <w:rPr>
          <w:rFonts w:ascii="Arial" w:hAnsi="Arial" w:cs="Arial"/>
          <w:sz w:val="24"/>
          <w:szCs w:val="24"/>
        </w:rPr>
        <w:t xml:space="preserve"> in particular communities</w:t>
      </w:r>
      <w:r w:rsidR="00107F0E">
        <w:rPr>
          <w:rFonts w:ascii="Arial" w:hAnsi="Arial" w:cs="Arial"/>
          <w:sz w:val="24"/>
          <w:szCs w:val="24"/>
        </w:rPr>
        <w:t>,</w:t>
      </w:r>
      <w:r w:rsidRPr="004E22F6">
        <w:rPr>
          <w:rFonts w:ascii="Arial" w:hAnsi="Arial" w:cs="Arial"/>
          <w:sz w:val="24"/>
          <w:szCs w:val="24"/>
        </w:rPr>
        <w:t xml:space="preserve"> young people have reported not feeling safe, including </w:t>
      </w:r>
      <w:r>
        <w:rPr>
          <w:rFonts w:ascii="Arial" w:hAnsi="Arial" w:cs="Arial"/>
          <w:sz w:val="24"/>
          <w:szCs w:val="24"/>
        </w:rPr>
        <w:t xml:space="preserve">from </w:t>
      </w:r>
      <w:r w:rsidRPr="004E22F6">
        <w:rPr>
          <w:rFonts w:ascii="Arial" w:hAnsi="Arial" w:cs="Arial"/>
          <w:sz w:val="24"/>
          <w:szCs w:val="24"/>
        </w:rPr>
        <w:t xml:space="preserve">sectarian violence and the continued influence of </w:t>
      </w:r>
      <w:r>
        <w:rPr>
          <w:rFonts w:ascii="Arial" w:hAnsi="Arial" w:cs="Arial"/>
          <w:sz w:val="24"/>
          <w:szCs w:val="24"/>
        </w:rPr>
        <w:t>“</w:t>
      </w:r>
      <w:r w:rsidRPr="004E22F6">
        <w:rPr>
          <w:rFonts w:ascii="Arial" w:hAnsi="Arial" w:cs="Arial"/>
          <w:sz w:val="24"/>
          <w:szCs w:val="24"/>
        </w:rPr>
        <w:t>paramilitaries</w:t>
      </w:r>
      <w:r>
        <w:rPr>
          <w:rFonts w:ascii="Arial" w:hAnsi="Arial" w:cs="Arial"/>
          <w:sz w:val="24"/>
          <w:szCs w:val="24"/>
        </w:rPr>
        <w:t>”</w:t>
      </w:r>
      <w:r w:rsidRPr="004E22F6">
        <w:rPr>
          <w:rFonts w:ascii="Arial" w:hAnsi="Arial" w:cs="Arial"/>
          <w:sz w:val="24"/>
          <w:szCs w:val="24"/>
        </w:rPr>
        <w:t>. Paramilitary</w:t>
      </w:r>
      <w:r>
        <w:rPr>
          <w:rFonts w:ascii="Arial" w:hAnsi="Arial" w:cs="Arial"/>
          <w:sz w:val="24"/>
          <w:szCs w:val="24"/>
        </w:rPr>
        <w:t>-style</w:t>
      </w:r>
      <w:r w:rsidRPr="004E22F6">
        <w:rPr>
          <w:rFonts w:ascii="Arial" w:hAnsi="Arial" w:cs="Arial"/>
          <w:sz w:val="24"/>
          <w:szCs w:val="24"/>
        </w:rPr>
        <w:t xml:space="preserve"> shootings and attacks on children under guise of community safety still occur in Northern Ireland hence the development of Northern Ireland Executive's Tackling </w:t>
      </w:r>
      <w:proofErr w:type="spellStart"/>
      <w:r w:rsidRPr="004E22F6">
        <w:rPr>
          <w:rFonts w:ascii="Arial" w:hAnsi="Arial" w:cs="Arial"/>
          <w:sz w:val="24"/>
          <w:szCs w:val="24"/>
        </w:rPr>
        <w:t>Paramilitarism</w:t>
      </w:r>
      <w:proofErr w:type="spellEnd"/>
      <w:r w:rsidRPr="004E22F6">
        <w:rPr>
          <w:rFonts w:ascii="Arial" w:hAnsi="Arial" w:cs="Arial"/>
          <w:sz w:val="24"/>
          <w:szCs w:val="24"/>
        </w:rPr>
        <w:t xml:space="preserve"> Programme</w:t>
      </w:r>
      <w:r w:rsidRPr="004E22F6">
        <w:rPr>
          <w:rStyle w:val="FootnoteReference"/>
          <w:rFonts w:ascii="Arial" w:hAnsi="Arial" w:cs="Arial"/>
          <w:sz w:val="24"/>
          <w:szCs w:val="24"/>
        </w:rPr>
        <w:footnoteReference w:id="5"/>
      </w:r>
      <w:r w:rsidRPr="004E22F6">
        <w:rPr>
          <w:rFonts w:ascii="Arial" w:hAnsi="Arial" w:cs="Arial"/>
          <w:sz w:val="24"/>
          <w:szCs w:val="24"/>
        </w:rPr>
        <w:t xml:space="preserve">. </w:t>
      </w:r>
      <w:r w:rsidR="00107F0E">
        <w:rPr>
          <w:rFonts w:ascii="Arial" w:hAnsi="Arial" w:cs="Arial"/>
          <w:sz w:val="24"/>
          <w:szCs w:val="24"/>
        </w:rPr>
        <w:t xml:space="preserve"> </w:t>
      </w:r>
      <w:r w:rsidRPr="004E22F6">
        <w:rPr>
          <w:rFonts w:ascii="Arial" w:hAnsi="Arial" w:cs="Arial"/>
          <w:sz w:val="24"/>
          <w:szCs w:val="24"/>
        </w:rPr>
        <w:t>To consider making a child or young person’s personal information public as the subject of an CBO in the current Northern Ireland context is to identify children to armed gangs with an interest in ‘anti-social behaviour’ which will have potentially grave implications for the child’s safety including a threat to their right to life</w:t>
      </w:r>
      <w:r w:rsidRPr="004E22F6">
        <w:rPr>
          <w:rFonts w:ascii="Arial" w:hAnsi="Arial" w:cs="Arial"/>
        </w:rPr>
        <w:t xml:space="preserve">.  </w:t>
      </w:r>
    </w:p>
    <w:p w:rsidR="00107F0E" w:rsidRDefault="00107F0E" w:rsidP="0097245A">
      <w:pPr>
        <w:spacing w:line="276" w:lineRule="auto"/>
        <w:rPr>
          <w:rFonts w:ascii="Arial" w:hAnsi="Arial" w:cs="Arial"/>
          <w:b/>
          <w:sz w:val="24"/>
          <w:szCs w:val="24"/>
        </w:rPr>
      </w:pPr>
    </w:p>
    <w:p w:rsidR="0097245A" w:rsidRPr="00107F0E" w:rsidRDefault="0097245A" w:rsidP="0097245A">
      <w:pPr>
        <w:spacing w:line="276" w:lineRule="auto"/>
        <w:rPr>
          <w:rFonts w:ascii="Arial" w:hAnsi="Arial" w:cs="Arial"/>
          <w:b/>
          <w:color w:val="FF0000"/>
          <w:sz w:val="24"/>
          <w:szCs w:val="24"/>
        </w:rPr>
      </w:pPr>
      <w:r w:rsidRPr="00107F0E">
        <w:rPr>
          <w:rFonts w:ascii="Arial" w:hAnsi="Arial" w:cs="Arial"/>
          <w:b/>
          <w:color w:val="FF0000"/>
          <w:sz w:val="24"/>
          <w:szCs w:val="24"/>
        </w:rPr>
        <w:t xml:space="preserve">Equality Duties </w:t>
      </w:r>
    </w:p>
    <w:p w:rsidR="0097245A" w:rsidRPr="00CC62E5" w:rsidRDefault="0097245A" w:rsidP="0097245A">
      <w:pPr>
        <w:spacing w:line="276" w:lineRule="auto"/>
        <w:rPr>
          <w:rFonts w:ascii="Arial" w:hAnsi="Arial" w:cs="Arial"/>
          <w:sz w:val="24"/>
          <w:szCs w:val="24"/>
        </w:rPr>
      </w:pPr>
      <w:r>
        <w:rPr>
          <w:rFonts w:ascii="Arial" w:hAnsi="Arial" w:cs="Arial"/>
          <w:sz w:val="24"/>
          <w:szCs w:val="24"/>
        </w:rPr>
        <w:t>NICCY has</w:t>
      </w:r>
      <w:r w:rsidRPr="004E22F6">
        <w:rPr>
          <w:rFonts w:ascii="Arial" w:hAnsi="Arial" w:cs="Arial"/>
          <w:sz w:val="24"/>
          <w:szCs w:val="24"/>
        </w:rPr>
        <w:t xml:space="preserve"> been in correspondence with </w:t>
      </w:r>
      <w:proofErr w:type="spellStart"/>
      <w:r w:rsidRPr="004E22F6">
        <w:rPr>
          <w:rFonts w:ascii="Arial" w:hAnsi="Arial" w:cs="Arial"/>
          <w:sz w:val="24"/>
          <w:szCs w:val="24"/>
        </w:rPr>
        <w:t>DoJ</w:t>
      </w:r>
      <w:proofErr w:type="spellEnd"/>
      <w:r w:rsidRPr="004E22F6">
        <w:rPr>
          <w:rFonts w:ascii="Arial" w:hAnsi="Arial" w:cs="Arial"/>
          <w:sz w:val="24"/>
          <w:szCs w:val="24"/>
        </w:rPr>
        <w:t xml:space="preserve"> with regards to the need to have published and Equality Impact As</w:t>
      </w:r>
      <w:r w:rsidR="00107F0E">
        <w:rPr>
          <w:rFonts w:ascii="Arial" w:hAnsi="Arial" w:cs="Arial"/>
          <w:sz w:val="24"/>
          <w:szCs w:val="24"/>
        </w:rPr>
        <w:t>sessment (EQIA) alongside this R</w:t>
      </w:r>
      <w:r w:rsidRPr="004E22F6">
        <w:rPr>
          <w:rFonts w:ascii="Arial" w:hAnsi="Arial" w:cs="Arial"/>
          <w:sz w:val="24"/>
          <w:szCs w:val="24"/>
        </w:rPr>
        <w:t xml:space="preserve">eview as the discussion clearly identifies one group of people (namely young people) </w:t>
      </w:r>
      <w:r>
        <w:rPr>
          <w:rFonts w:ascii="Arial" w:hAnsi="Arial" w:cs="Arial"/>
          <w:sz w:val="24"/>
          <w:szCs w:val="24"/>
        </w:rPr>
        <w:t xml:space="preserve">who </w:t>
      </w:r>
      <w:r w:rsidRPr="004E22F6">
        <w:rPr>
          <w:rFonts w:ascii="Arial" w:hAnsi="Arial" w:cs="Arial"/>
          <w:sz w:val="24"/>
          <w:szCs w:val="24"/>
        </w:rPr>
        <w:t xml:space="preserve">are those most likely to be affected by these proposals.  </w:t>
      </w:r>
      <w:r w:rsidRPr="00CC62E5">
        <w:rPr>
          <w:rFonts w:ascii="Arial" w:eastAsiaTheme="minorEastAsia" w:hAnsi="Arial" w:cs="Arial"/>
          <w:sz w:val="24"/>
          <w:szCs w:val="24"/>
        </w:rPr>
        <w:t xml:space="preserve">The </w:t>
      </w:r>
      <w:proofErr w:type="spellStart"/>
      <w:r w:rsidRPr="00CC62E5">
        <w:rPr>
          <w:rFonts w:ascii="Arial" w:eastAsiaTheme="minorEastAsia" w:hAnsi="Arial" w:cs="Arial"/>
          <w:sz w:val="24"/>
          <w:szCs w:val="24"/>
        </w:rPr>
        <w:t>DoJ</w:t>
      </w:r>
      <w:proofErr w:type="spellEnd"/>
      <w:r w:rsidRPr="00CC62E5">
        <w:rPr>
          <w:rFonts w:ascii="Arial" w:eastAsiaTheme="minorEastAsia" w:hAnsi="Arial" w:cs="Arial"/>
          <w:sz w:val="24"/>
          <w:szCs w:val="24"/>
        </w:rPr>
        <w:t xml:space="preserve"> sh</w:t>
      </w:r>
      <w:r>
        <w:rPr>
          <w:rFonts w:ascii="Arial" w:eastAsiaTheme="minorEastAsia" w:hAnsi="Arial" w:cs="Arial"/>
          <w:sz w:val="24"/>
          <w:szCs w:val="24"/>
        </w:rPr>
        <w:t>ould have screened this policy</w:t>
      </w:r>
      <w:r w:rsidRPr="00CC62E5">
        <w:rPr>
          <w:rFonts w:ascii="Arial" w:eastAsiaTheme="minorEastAsia" w:hAnsi="Arial" w:cs="Arial"/>
          <w:sz w:val="24"/>
          <w:szCs w:val="24"/>
        </w:rPr>
        <w:t xml:space="preserve"> and identified the </w:t>
      </w:r>
      <w:r w:rsidRPr="00CC62E5">
        <w:rPr>
          <w:rFonts w:ascii="Arial" w:eastAsiaTheme="minorEastAsia" w:hAnsi="Arial" w:cs="Arial"/>
          <w:sz w:val="24"/>
          <w:szCs w:val="24"/>
        </w:rPr>
        <w:lastRenderedPageBreak/>
        <w:t>clear potential for adverse impact on young, disabled males, given their over representation in the criminal justice system which would have given rise to an EQIA being carried out, including direct consultation with children and young people and a</w:t>
      </w:r>
      <w:r>
        <w:rPr>
          <w:rFonts w:ascii="Arial" w:eastAsiaTheme="minorEastAsia" w:hAnsi="Arial" w:cs="Arial"/>
          <w:sz w:val="24"/>
          <w:szCs w:val="24"/>
        </w:rPr>
        <w:t xml:space="preserve"> 12 week consultation period.</w:t>
      </w:r>
      <w:r w:rsidRPr="00CC62E5">
        <w:rPr>
          <w:rFonts w:ascii="Arial" w:eastAsiaTheme="minorEastAsia" w:hAnsi="Arial" w:cs="Arial"/>
          <w:sz w:val="24"/>
          <w:szCs w:val="24"/>
        </w:rPr>
        <w:t xml:space="preserve">  The findings of the EQIA should be used to inform the consultation, not after the consultation where there is no opportunity to influence the proposals. Section 75 is intended to be used as a policy formulation tool. The Equality Commission’s, “</w:t>
      </w:r>
      <w:r w:rsidRPr="00CC62E5">
        <w:rPr>
          <w:rFonts w:ascii="Arial" w:eastAsiaTheme="minorEastAsia" w:hAnsi="Arial" w:cs="Arial"/>
          <w:i/>
          <w:sz w:val="24"/>
          <w:szCs w:val="24"/>
        </w:rPr>
        <w:t>Guidance for Implementing Section 75 of the Northern Ireland Act 1998”</w:t>
      </w:r>
      <w:r w:rsidRPr="004E22F6">
        <w:rPr>
          <w:rFonts w:ascii="Arial" w:eastAsiaTheme="minorEastAsia" w:hAnsi="Arial" w:cs="Arial"/>
          <w:sz w:val="24"/>
          <w:szCs w:val="24"/>
          <w:vertAlign w:val="superscript"/>
        </w:rPr>
        <w:footnoteReference w:id="6"/>
      </w:r>
      <w:r w:rsidRPr="00CC62E5">
        <w:rPr>
          <w:rFonts w:ascii="Arial" w:eastAsiaTheme="minorEastAsia" w:hAnsi="Arial" w:cs="Arial"/>
          <w:i/>
          <w:sz w:val="24"/>
          <w:szCs w:val="24"/>
        </w:rPr>
        <w:t xml:space="preserve"> </w:t>
      </w:r>
      <w:r w:rsidRPr="00CC62E5">
        <w:rPr>
          <w:rFonts w:ascii="Arial" w:eastAsiaTheme="minorEastAsia" w:hAnsi="Arial" w:cs="Arial"/>
          <w:sz w:val="24"/>
          <w:szCs w:val="24"/>
        </w:rPr>
        <w:t>is clear about the stage at which public authorities need to screen policy proposals and carry out EQIA’s when required. The Guidance states that,</w:t>
      </w:r>
    </w:p>
    <w:p w:rsidR="0097245A" w:rsidRPr="00CC62E5" w:rsidRDefault="0097245A" w:rsidP="0097245A">
      <w:pPr>
        <w:widowControl w:val="0"/>
        <w:autoSpaceDE w:val="0"/>
        <w:autoSpaceDN w:val="0"/>
        <w:adjustRightInd w:val="0"/>
        <w:spacing w:line="276" w:lineRule="auto"/>
        <w:ind w:left="720"/>
        <w:textAlignment w:val="center"/>
        <w:rPr>
          <w:rFonts w:ascii="Arial" w:eastAsiaTheme="minorEastAsia" w:hAnsi="Arial" w:cs="Arial"/>
          <w:sz w:val="24"/>
          <w:szCs w:val="24"/>
        </w:rPr>
      </w:pPr>
      <w:r w:rsidRPr="00CC62E5">
        <w:rPr>
          <w:rFonts w:ascii="Arial" w:eastAsiaTheme="minorEastAsia" w:hAnsi="Arial" w:cs="Arial"/>
          <w:i/>
          <w:sz w:val="24"/>
          <w:szCs w:val="24"/>
        </w:rPr>
        <w:t>“Section 75 is important to policy formulation (new or proposed policies) and policy review (existing policies). It is important that public authorities use the assessment of policies for impact on equality of opportunity, including screening and equality impact assessment, as part of their policy development process, rather than as an afterthought when the policy has been established.”</w:t>
      </w:r>
      <w:r w:rsidRPr="004E22F6">
        <w:rPr>
          <w:rFonts w:ascii="Arial" w:eastAsiaTheme="minorEastAsia" w:hAnsi="Arial" w:cs="Arial"/>
          <w:sz w:val="24"/>
          <w:szCs w:val="24"/>
          <w:vertAlign w:val="superscript"/>
        </w:rPr>
        <w:footnoteReference w:id="7"/>
      </w:r>
      <w:r w:rsidRPr="00CC62E5">
        <w:rPr>
          <w:rFonts w:ascii="Arial" w:eastAsiaTheme="minorEastAsia" w:hAnsi="Arial" w:cs="Arial"/>
          <w:sz w:val="24"/>
          <w:szCs w:val="24"/>
        </w:rPr>
        <w:t xml:space="preserve"> </w:t>
      </w:r>
    </w:p>
    <w:p w:rsidR="0097245A" w:rsidRPr="00CC62E5" w:rsidRDefault="0097245A" w:rsidP="0097245A">
      <w:pPr>
        <w:widowControl w:val="0"/>
        <w:autoSpaceDE w:val="0"/>
        <w:autoSpaceDN w:val="0"/>
        <w:adjustRightInd w:val="0"/>
        <w:spacing w:line="276" w:lineRule="auto"/>
        <w:textAlignment w:val="center"/>
        <w:rPr>
          <w:rFonts w:ascii="Arial" w:eastAsiaTheme="minorEastAsia" w:hAnsi="Arial" w:cs="Arial"/>
          <w:i/>
          <w:sz w:val="24"/>
          <w:szCs w:val="24"/>
        </w:rPr>
      </w:pPr>
    </w:p>
    <w:p w:rsidR="0097245A" w:rsidRPr="00CC62E5" w:rsidRDefault="0097245A" w:rsidP="0097245A">
      <w:pPr>
        <w:widowControl w:val="0"/>
        <w:autoSpaceDE w:val="0"/>
        <w:autoSpaceDN w:val="0"/>
        <w:adjustRightInd w:val="0"/>
        <w:spacing w:line="276" w:lineRule="auto"/>
        <w:textAlignment w:val="center"/>
        <w:rPr>
          <w:rFonts w:ascii="Arial" w:eastAsiaTheme="minorEastAsia" w:hAnsi="Arial" w:cs="Arial"/>
          <w:sz w:val="24"/>
          <w:szCs w:val="24"/>
        </w:rPr>
      </w:pPr>
      <w:proofErr w:type="spellStart"/>
      <w:r w:rsidRPr="00CC62E5">
        <w:rPr>
          <w:rFonts w:ascii="Arial" w:eastAsiaTheme="minorEastAsia" w:hAnsi="Arial" w:cs="Arial"/>
          <w:sz w:val="24"/>
          <w:szCs w:val="24"/>
        </w:rPr>
        <w:t>DoJ</w:t>
      </w:r>
      <w:proofErr w:type="spellEnd"/>
      <w:r w:rsidRPr="00CC62E5">
        <w:rPr>
          <w:rFonts w:ascii="Arial" w:eastAsiaTheme="minorEastAsia" w:hAnsi="Arial" w:cs="Arial"/>
          <w:sz w:val="24"/>
          <w:szCs w:val="24"/>
        </w:rPr>
        <w:t xml:space="preserve"> approved Equality Scheme also states that,</w:t>
      </w:r>
    </w:p>
    <w:p w:rsidR="0097245A" w:rsidRPr="00CC62E5" w:rsidRDefault="0097245A" w:rsidP="0097245A">
      <w:pPr>
        <w:widowControl w:val="0"/>
        <w:autoSpaceDE w:val="0"/>
        <w:autoSpaceDN w:val="0"/>
        <w:adjustRightInd w:val="0"/>
        <w:spacing w:line="276" w:lineRule="auto"/>
        <w:textAlignment w:val="center"/>
        <w:rPr>
          <w:rFonts w:ascii="Arial" w:eastAsiaTheme="minorEastAsia" w:hAnsi="Arial" w:cs="Arial"/>
          <w:sz w:val="24"/>
          <w:szCs w:val="24"/>
        </w:rPr>
      </w:pPr>
    </w:p>
    <w:p w:rsidR="0097245A" w:rsidRPr="00CC62E5" w:rsidRDefault="0097245A" w:rsidP="0097245A">
      <w:pPr>
        <w:widowControl w:val="0"/>
        <w:autoSpaceDE w:val="0"/>
        <w:autoSpaceDN w:val="0"/>
        <w:adjustRightInd w:val="0"/>
        <w:spacing w:line="276" w:lineRule="auto"/>
        <w:ind w:left="720"/>
        <w:textAlignment w:val="center"/>
        <w:rPr>
          <w:rFonts w:ascii="Arial" w:eastAsiaTheme="minorEastAsia" w:hAnsi="Arial" w:cs="Arial"/>
          <w:sz w:val="24"/>
          <w:szCs w:val="24"/>
        </w:rPr>
      </w:pPr>
      <w:r w:rsidRPr="00CC62E5">
        <w:rPr>
          <w:rFonts w:ascii="Arial" w:eastAsiaTheme="minorEastAsia" w:hAnsi="Arial" w:cs="Arial"/>
          <w:i/>
          <w:sz w:val="24"/>
          <w:szCs w:val="24"/>
        </w:rPr>
        <w:t>“Once a policy is screened and screening has identified that an equality impact assessment is necessary, the Department will carry out the EQIA in accordance with Equality Commission guidance. The equality impact assessment will be carried out as part of the policy development process, before the policy is implemented.”</w:t>
      </w:r>
      <w:r w:rsidRPr="004E22F6">
        <w:rPr>
          <w:rFonts w:ascii="Arial" w:eastAsiaTheme="minorEastAsia" w:hAnsi="Arial" w:cs="Arial"/>
          <w:sz w:val="24"/>
          <w:szCs w:val="24"/>
          <w:vertAlign w:val="superscript"/>
        </w:rPr>
        <w:footnoteReference w:id="8"/>
      </w:r>
    </w:p>
    <w:p w:rsidR="0097245A" w:rsidRPr="00CC62E5" w:rsidRDefault="0097245A" w:rsidP="0097245A">
      <w:pPr>
        <w:widowControl w:val="0"/>
        <w:autoSpaceDE w:val="0"/>
        <w:autoSpaceDN w:val="0"/>
        <w:adjustRightInd w:val="0"/>
        <w:spacing w:line="276" w:lineRule="auto"/>
        <w:textAlignment w:val="center"/>
        <w:rPr>
          <w:rFonts w:ascii="Arial" w:eastAsiaTheme="minorEastAsia" w:hAnsi="Arial" w:cs="Arial"/>
          <w:sz w:val="24"/>
          <w:szCs w:val="24"/>
        </w:rPr>
      </w:pPr>
    </w:p>
    <w:p w:rsidR="0097245A" w:rsidRPr="00CC62E5" w:rsidRDefault="0097245A" w:rsidP="00107F0E">
      <w:pPr>
        <w:widowControl w:val="0"/>
        <w:autoSpaceDE w:val="0"/>
        <w:autoSpaceDN w:val="0"/>
        <w:adjustRightInd w:val="0"/>
        <w:spacing w:after="240" w:line="276" w:lineRule="auto"/>
        <w:textAlignment w:val="center"/>
        <w:rPr>
          <w:rFonts w:ascii="Arial" w:eastAsiaTheme="minorEastAsia" w:hAnsi="Arial" w:cs="Arial"/>
          <w:sz w:val="24"/>
          <w:szCs w:val="24"/>
        </w:rPr>
      </w:pPr>
      <w:r w:rsidRPr="00CC62E5">
        <w:rPr>
          <w:rFonts w:ascii="Arial" w:eastAsiaTheme="minorEastAsia" w:hAnsi="Arial" w:cs="Arial"/>
          <w:sz w:val="24"/>
          <w:szCs w:val="24"/>
        </w:rPr>
        <w:t xml:space="preserve">Section 75 is therefore not intended to be used when policy decisions have been taken, with no regard having been shown to the obligation to have due regard to the need to promote equality of opportunity.  </w:t>
      </w:r>
    </w:p>
    <w:p w:rsidR="0097245A" w:rsidRDefault="0097245A" w:rsidP="00107F0E">
      <w:pPr>
        <w:spacing w:after="240" w:line="276" w:lineRule="auto"/>
        <w:rPr>
          <w:rFonts w:ascii="Arial" w:hAnsi="Arial" w:cs="Arial"/>
          <w:sz w:val="24"/>
          <w:szCs w:val="24"/>
        </w:rPr>
      </w:pPr>
      <w:r w:rsidRPr="00CC62E5">
        <w:rPr>
          <w:rFonts w:ascii="Arial" w:hAnsi="Arial" w:cs="Arial"/>
          <w:sz w:val="24"/>
          <w:szCs w:val="24"/>
        </w:rPr>
        <w:t xml:space="preserve">NICCY believes that where policies are developed using section 75 as a policy formulation tool, policies which promote equality of opportunity and mitigate against adverse impact are those which will achieve better outcomes. </w:t>
      </w:r>
    </w:p>
    <w:p w:rsidR="0097245A" w:rsidRDefault="00107F0E" w:rsidP="0097245A">
      <w:pPr>
        <w:spacing w:line="276" w:lineRule="auto"/>
        <w:rPr>
          <w:rFonts w:ascii="Arial" w:eastAsiaTheme="minorEastAsia" w:hAnsi="Arial" w:cs="Arial"/>
          <w:sz w:val="24"/>
          <w:szCs w:val="24"/>
        </w:rPr>
      </w:pPr>
      <w:r>
        <w:rPr>
          <w:rFonts w:ascii="Arial" w:eastAsiaTheme="minorEastAsia" w:hAnsi="Arial" w:cs="Arial"/>
          <w:sz w:val="24"/>
          <w:szCs w:val="24"/>
        </w:rPr>
        <w:t xml:space="preserve">We </w:t>
      </w:r>
      <w:r w:rsidR="0097245A" w:rsidRPr="00CC62E5">
        <w:rPr>
          <w:rFonts w:ascii="Arial" w:eastAsiaTheme="minorEastAsia" w:hAnsi="Arial" w:cs="Arial"/>
          <w:sz w:val="24"/>
          <w:szCs w:val="24"/>
        </w:rPr>
        <w:t>do accept that following prompting by an NGO a young person’s version was published and the consultation period extended to 12 weeks.</w:t>
      </w:r>
    </w:p>
    <w:p w:rsidR="00107F0E" w:rsidRDefault="00107F0E" w:rsidP="0097245A">
      <w:pPr>
        <w:spacing w:line="276" w:lineRule="auto"/>
        <w:rPr>
          <w:rFonts w:ascii="Arial" w:hAnsi="Arial" w:cs="Arial"/>
          <w:sz w:val="24"/>
          <w:szCs w:val="24"/>
        </w:rPr>
      </w:pPr>
    </w:p>
    <w:p w:rsidR="00107F0E" w:rsidRDefault="00107F0E" w:rsidP="0097245A">
      <w:pPr>
        <w:spacing w:line="276" w:lineRule="auto"/>
        <w:rPr>
          <w:rFonts w:ascii="Arial" w:hAnsi="Arial" w:cs="Arial"/>
          <w:sz w:val="24"/>
          <w:szCs w:val="24"/>
        </w:rPr>
      </w:pPr>
    </w:p>
    <w:p w:rsidR="00107F0E" w:rsidRDefault="00107F0E" w:rsidP="0097245A">
      <w:pPr>
        <w:spacing w:line="276" w:lineRule="auto"/>
        <w:rPr>
          <w:rFonts w:ascii="Arial" w:hAnsi="Arial" w:cs="Arial"/>
          <w:sz w:val="24"/>
          <w:szCs w:val="24"/>
        </w:rPr>
      </w:pPr>
    </w:p>
    <w:p w:rsidR="00107F0E" w:rsidRPr="004E22F6" w:rsidRDefault="00107F0E" w:rsidP="0097245A">
      <w:pPr>
        <w:spacing w:line="276" w:lineRule="auto"/>
        <w:rPr>
          <w:rFonts w:ascii="Arial" w:hAnsi="Arial" w:cs="Arial"/>
          <w:sz w:val="24"/>
          <w:szCs w:val="24"/>
        </w:rPr>
      </w:pPr>
    </w:p>
    <w:p w:rsidR="0097245A" w:rsidRPr="00107F0E" w:rsidRDefault="0097245A" w:rsidP="0097245A">
      <w:pPr>
        <w:spacing w:line="276" w:lineRule="auto"/>
        <w:rPr>
          <w:rFonts w:ascii="Arial" w:hAnsi="Arial" w:cs="Arial"/>
          <w:b/>
          <w:color w:val="FF0000"/>
          <w:sz w:val="24"/>
          <w:szCs w:val="24"/>
        </w:rPr>
      </w:pPr>
      <w:r w:rsidRPr="00107F0E">
        <w:rPr>
          <w:rFonts w:ascii="Arial" w:hAnsi="Arial" w:cs="Arial"/>
          <w:b/>
          <w:color w:val="FF0000"/>
          <w:sz w:val="24"/>
          <w:szCs w:val="24"/>
        </w:rPr>
        <w:lastRenderedPageBreak/>
        <w:t xml:space="preserve">Conclusion </w:t>
      </w:r>
    </w:p>
    <w:p w:rsidR="0097245A" w:rsidRPr="004E22F6" w:rsidRDefault="0097245A" w:rsidP="0097245A">
      <w:pPr>
        <w:spacing w:line="276" w:lineRule="auto"/>
        <w:rPr>
          <w:rFonts w:ascii="Arial" w:hAnsi="Arial" w:cs="Arial"/>
          <w:sz w:val="24"/>
          <w:szCs w:val="24"/>
        </w:rPr>
      </w:pPr>
      <w:r w:rsidRPr="00CC62E5">
        <w:rPr>
          <w:rFonts w:ascii="Arial" w:hAnsi="Arial" w:cs="Arial"/>
          <w:sz w:val="24"/>
          <w:szCs w:val="24"/>
        </w:rPr>
        <w:t>No evidence has been provided in the consultation document that the current proposals are necessary, particularly given that there is a range of criminal justice legislation already in existence</w:t>
      </w:r>
      <w:r>
        <w:rPr>
          <w:rFonts w:ascii="Arial" w:hAnsi="Arial" w:cs="Arial"/>
          <w:sz w:val="24"/>
          <w:szCs w:val="24"/>
        </w:rPr>
        <w:t xml:space="preserve"> to deal with the issues</w:t>
      </w:r>
      <w:r w:rsidRPr="00CC62E5">
        <w:rPr>
          <w:rFonts w:ascii="Arial" w:hAnsi="Arial" w:cs="Arial"/>
          <w:sz w:val="24"/>
          <w:szCs w:val="24"/>
        </w:rPr>
        <w:t xml:space="preserve"> identified. </w:t>
      </w:r>
      <w:r w:rsidR="00107F0E">
        <w:rPr>
          <w:rFonts w:ascii="Arial" w:hAnsi="Arial" w:cs="Arial"/>
          <w:sz w:val="24"/>
          <w:szCs w:val="24"/>
        </w:rPr>
        <w:t xml:space="preserve"> </w:t>
      </w:r>
      <w:r w:rsidRPr="00CC62E5">
        <w:rPr>
          <w:rFonts w:ascii="Arial" w:hAnsi="Arial" w:cs="Arial"/>
          <w:sz w:val="24"/>
          <w:szCs w:val="24"/>
        </w:rPr>
        <w:t xml:space="preserve">Where behaviour is not criminal, a criminal justice approach is not necessary. </w:t>
      </w:r>
      <w:r w:rsidR="00107F0E">
        <w:rPr>
          <w:rFonts w:ascii="Arial" w:hAnsi="Arial" w:cs="Arial"/>
          <w:sz w:val="24"/>
          <w:szCs w:val="24"/>
        </w:rPr>
        <w:t xml:space="preserve"> </w:t>
      </w:r>
      <w:r w:rsidRPr="00CC62E5">
        <w:rPr>
          <w:rFonts w:ascii="Arial" w:hAnsi="Arial" w:cs="Arial"/>
          <w:sz w:val="24"/>
          <w:szCs w:val="24"/>
        </w:rPr>
        <w:t>Where behaviour is criminal in nature, the due process and protection</w:t>
      </w:r>
      <w:r>
        <w:rPr>
          <w:rFonts w:ascii="Arial" w:hAnsi="Arial" w:cs="Arial"/>
          <w:sz w:val="24"/>
          <w:szCs w:val="24"/>
        </w:rPr>
        <w:t xml:space="preserve"> of the criminal justice system</w:t>
      </w:r>
      <w:r w:rsidRPr="00CC62E5">
        <w:rPr>
          <w:rFonts w:ascii="Arial" w:hAnsi="Arial" w:cs="Arial"/>
          <w:sz w:val="24"/>
          <w:szCs w:val="24"/>
        </w:rPr>
        <w:t xml:space="preserve"> </w:t>
      </w:r>
      <w:r>
        <w:rPr>
          <w:rFonts w:ascii="Arial" w:hAnsi="Arial" w:cs="Arial"/>
          <w:sz w:val="24"/>
          <w:szCs w:val="24"/>
        </w:rPr>
        <w:t xml:space="preserve">should be implemented and this will include diversion, </w:t>
      </w:r>
      <w:r w:rsidRPr="00CC62E5">
        <w:rPr>
          <w:rFonts w:ascii="Arial" w:hAnsi="Arial" w:cs="Arial"/>
          <w:sz w:val="24"/>
          <w:szCs w:val="24"/>
        </w:rPr>
        <w:t>restora</w:t>
      </w:r>
      <w:r>
        <w:rPr>
          <w:rFonts w:ascii="Arial" w:hAnsi="Arial" w:cs="Arial"/>
          <w:sz w:val="24"/>
          <w:szCs w:val="24"/>
        </w:rPr>
        <w:t>tive approach</w:t>
      </w:r>
      <w:r w:rsidR="00107F0E">
        <w:rPr>
          <w:rFonts w:ascii="Arial" w:hAnsi="Arial" w:cs="Arial"/>
          <w:sz w:val="24"/>
          <w:szCs w:val="24"/>
        </w:rPr>
        <w:t>es</w:t>
      </w:r>
      <w:r>
        <w:rPr>
          <w:rFonts w:ascii="Arial" w:hAnsi="Arial" w:cs="Arial"/>
          <w:sz w:val="24"/>
          <w:szCs w:val="24"/>
        </w:rPr>
        <w:t xml:space="preserve"> for example. </w:t>
      </w:r>
      <w:r w:rsidRPr="00CC62E5">
        <w:rPr>
          <w:rFonts w:ascii="Arial" w:hAnsi="Arial" w:cs="Arial"/>
          <w:sz w:val="24"/>
          <w:szCs w:val="24"/>
        </w:rPr>
        <w:t xml:space="preserve"> NICCY believes that the use of a criminal justice legislative response to the behaviour of children and young people, without taking full and adequate cognisance of the criminal justice system, not least with regard to the due process of the law and the checks and balances contained within it is a breach of Article 40 of the UNCRC and other international children’s rights standards and Article 6 of the European Convention on Human Rights (ECHR).</w:t>
      </w:r>
    </w:p>
    <w:p w:rsidR="0097245A" w:rsidRPr="004E22F6" w:rsidRDefault="0097245A" w:rsidP="0097245A">
      <w:pPr>
        <w:spacing w:line="276" w:lineRule="auto"/>
        <w:rPr>
          <w:rFonts w:ascii="Arial" w:hAnsi="Arial" w:cs="Arial"/>
          <w:sz w:val="24"/>
          <w:szCs w:val="24"/>
        </w:rPr>
      </w:pPr>
    </w:p>
    <w:p w:rsidR="0097245A" w:rsidRPr="00730E37" w:rsidRDefault="0097245A" w:rsidP="0097245A">
      <w:pPr>
        <w:widowControl w:val="0"/>
        <w:autoSpaceDE w:val="0"/>
        <w:autoSpaceDN w:val="0"/>
        <w:adjustRightInd w:val="0"/>
        <w:spacing w:line="276" w:lineRule="auto"/>
        <w:textAlignment w:val="center"/>
        <w:rPr>
          <w:rFonts w:ascii="Arial" w:eastAsiaTheme="minorEastAsia" w:hAnsi="Arial" w:cs="Arial"/>
          <w:sz w:val="24"/>
          <w:szCs w:val="24"/>
        </w:rPr>
      </w:pPr>
      <w:r w:rsidRPr="00730E37">
        <w:rPr>
          <w:rFonts w:ascii="Arial" w:eastAsiaTheme="minorEastAsia" w:hAnsi="Arial" w:cs="Arial"/>
          <w:sz w:val="24"/>
          <w:szCs w:val="24"/>
        </w:rPr>
        <w:t>It is also clear from the e</w:t>
      </w:r>
      <w:r>
        <w:rPr>
          <w:rFonts w:ascii="Arial" w:eastAsiaTheme="minorEastAsia" w:hAnsi="Arial" w:cs="Arial"/>
          <w:sz w:val="24"/>
          <w:szCs w:val="24"/>
        </w:rPr>
        <w:t>xperience of their operation in Northern Ireland and Britain that ASBO</w:t>
      </w:r>
      <w:r w:rsidRPr="00730E37">
        <w:rPr>
          <w:rFonts w:ascii="Arial" w:eastAsiaTheme="minorEastAsia" w:hAnsi="Arial" w:cs="Arial"/>
          <w:sz w:val="24"/>
          <w:szCs w:val="24"/>
        </w:rPr>
        <w:t>s do not work. They have failed to address the issue of anti-social behaviour in communities and do not address the causes of anti-social behaviour, nor do they provide solutions to issues such as poverty, social exclusion and a lack of facilities in communities. The introduction of further civil order</w:t>
      </w:r>
      <w:r>
        <w:rPr>
          <w:rFonts w:ascii="Arial" w:eastAsiaTheme="minorEastAsia" w:hAnsi="Arial" w:cs="Arial"/>
          <w:sz w:val="24"/>
          <w:szCs w:val="24"/>
        </w:rPr>
        <w:t>s</w:t>
      </w:r>
      <w:r w:rsidRPr="00730E37">
        <w:rPr>
          <w:rFonts w:ascii="Arial" w:eastAsiaTheme="minorEastAsia" w:hAnsi="Arial" w:cs="Arial"/>
          <w:sz w:val="24"/>
          <w:szCs w:val="24"/>
        </w:rPr>
        <w:t xml:space="preserve"> to address anti-social behaviour will not address the causes of this behaviour in communities, which will require a </w:t>
      </w:r>
      <w:r>
        <w:rPr>
          <w:rFonts w:ascii="Arial" w:eastAsiaTheme="minorEastAsia" w:hAnsi="Arial" w:cs="Arial"/>
          <w:sz w:val="24"/>
          <w:szCs w:val="24"/>
        </w:rPr>
        <w:t>whole community approach which addresses systemic issues</w:t>
      </w:r>
      <w:r w:rsidRPr="00730E37">
        <w:rPr>
          <w:rFonts w:ascii="Arial" w:eastAsiaTheme="minorEastAsia" w:hAnsi="Arial" w:cs="Arial"/>
          <w:sz w:val="24"/>
          <w:szCs w:val="24"/>
        </w:rPr>
        <w:t>.</w:t>
      </w:r>
      <w:r>
        <w:rPr>
          <w:rFonts w:ascii="Arial" w:eastAsiaTheme="minorEastAsia" w:hAnsi="Arial" w:cs="Arial"/>
          <w:sz w:val="24"/>
          <w:szCs w:val="24"/>
        </w:rPr>
        <w:t xml:space="preserve"> </w:t>
      </w:r>
      <w:r w:rsidRPr="00730E37">
        <w:rPr>
          <w:rFonts w:ascii="Arial" w:eastAsiaTheme="minorEastAsia" w:hAnsi="Arial" w:cs="Arial"/>
          <w:sz w:val="24"/>
          <w:szCs w:val="24"/>
        </w:rPr>
        <w:t xml:space="preserve"> The current proposals will result in the criminalisation of young people, compounding ASB and criminal behaviour, gravely impacting on the community and the young people themselves.</w:t>
      </w:r>
    </w:p>
    <w:p w:rsidR="0097245A" w:rsidRPr="00730E37" w:rsidRDefault="0097245A" w:rsidP="0097245A">
      <w:pPr>
        <w:widowControl w:val="0"/>
        <w:autoSpaceDE w:val="0"/>
        <w:autoSpaceDN w:val="0"/>
        <w:adjustRightInd w:val="0"/>
        <w:spacing w:line="276" w:lineRule="auto"/>
        <w:textAlignment w:val="center"/>
        <w:rPr>
          <w:rFonts w:ascii="Arial" w:eastAsiaTheme="minorEastAsia" w:hAnsi="Arial" w:cs="Arial"/>
          <w:sz w:val="24"/>
          <w:szCs w:val="24"/>
        </w:rPr>
      </w:pPr>
    </w:p>
    <w:p w:rsidR="0097245A" w:rsidRPr="00730E37" w:rsidRDefault="0097245A" w:rsidP="0097245A">
      <w:pPr>
        <w:widowControl w:val="0"/>
        <w:autoSpaceDE w:val="0"/>
        <w:autoSpaceDN w:val="0"/>
        <w:adjustRightInd w:val="0"/>
        <w:spacing w:line="276" w:lineRule="auto"/>
        <w:textAlignment w:val="center"/>
        <w:rPr>
          <w:rFonts w:ascii="Arial" w:eastAsiaTheme="minorEastAsia" w:hAnsi="Arial" w:cs="Arial"/>
          <w:sz w:val="24"/>
          <w:szCs w:val="24"/>
        </w:rPr>
      </w:pPr>
      <w:r>
        <w:rPr>
          <w:rFonts w:ascii="Arial" w:eastAsiaTheme="minorEastAsia" w:hAnsi="Arial" w:cs="Arial"/>
          <w:sz w:val="24"/>
          <w:szCs w:val="24"/>
        </w:rPr>
        <w:t>The Commissioner</w:t>
      </w:r>
      <w:r w:rsidRPr="00730E37">
        <w:rPr>
          <w:rFonts w:ascii="Arial" w:eastAsiaTheme="minorEastAsia" w:hAnsi="Arial" w:cs="Arial"/>
          <w:sz w:val="24"/>
          <w:szCs w:val="24"/>
        </w:rPr>
        <w:t xml:space="preserve"> believes that the Government should have l</w:t>
      </w:r>
      <w:r>
        <w:rPr>
          <w:rFonts w:ascii="Arial" w:eastAsiaTheme="minorEastAsia" w:hAnsi="Arial" w:cs="Arial"/>
          <w:sz w:val="24"/>
          <w:szCs w:val="24"/>
        </w:rPr>
        <w:t>earned from the failure of ASBO</w:t>
      </w:r>
      <w:r w:rsidRPr="00730E37">
        <w:rPr>
          <w:rFonts w:ascii="Arial" w:eastAsiaTheme="minorEastAsia" w:hAnsi="Arial" w:cs="Arial"/>
          <w:sz w:val="24"/>
          <w:szCs w:val="24"/>
        </w:rPr>
        <w:t xml:space="preserve">s to </w:t>
      </w:r>
      <w:r w:rsidR="00107F0E">
        <w:rPr>
          <w:rFonts w:ascii="Arial" w:eastAsiaTheme="minorEastAsia" w:hAnsi="Arial" w:cs="Arial"/>
          <w:sz w:val="24"/>
          <w:szCs w:val="24"/>
        </w:rPr>
        <w:t>address</w:t>
      </w:r>
      <w:r w:rsidRPr="00730E37">
        <w:rPr>
          <w:rFonts w:ascii="Arial" w:eastAsiaTheme="minorEastAsia" w:hAnsi="Arial" w:cs="Arial"/>
          <w:sz w:val="24"/>
          <w:szCs w:val="24"/>
        </w:rPr>
        <w:t xml:space="preserve"> anti-social behaviour within a Northern Ireland context and develop a policy which recognises the role of young people in society and aims to address the issues behind anti-social behaviour, rather than taking a punitive civil order based approach which, will move the problem of anti-social behaviour on to another area and another estate rather than addressing and fixing the problem.  </w:t>
      </w:r>
    </w:p>
    <w:p w:rsidR="0097245A" w:rsidRPr="00CC62E5" w:rsidRDefault="0097245A" w:rsidP="0097245A">
      <w:pPr>
        <w:spacing w:line="276" w:lineRule="auto"/>
        <w:rPr>
          <w:rFonts w:ascii="Arial" w:hAnsi="Arial" w:cs="Arial"/>
          <w:sz w:val="24"/>
          <w:szCs w:val="24"/>
        </w:rPr>
      </w:pPr>
    </w:p>
    <w:p w:rsidR="0097245A" w:rsidRPr="00107F0E" w:rsidRDefault="0097245A" w:rsidP="0097245A">
      <w:pPr>
        <w:spacing w:line="276" w:lineRule="auto"/>
        <w:rPr>
          <w:rFonts w:ascii="Arial" w:hAnsi="Arial" w:cs="Arial"/>
          <w:b/>
          <w:sz w:val="24"/>
          <w:szCs w:val="24"/>
        </w:rPr>
      </w:pPr>
      <w:r w:rsidRPr="00107F0E">
        <w:rPr>
          <w:rFonts w:ascii="Arial" w:hAnsi="Arial" w:cs="Arial"/>
          <w:b/>
          <w:sz w:val="24"/>
          <w:szCs w:val="24"/>
        </w:rPr>
        <w:t xml:space="preserve">The Commissioner suggests that evidence is gathered with regards to the relevant issues concerning anti-social behaviour and that a thorough review is undertaken of the efficacy of existing </w:t>
      </w:r>
      <w:r w:rsidR="00107F0E">
        <w:rPr>
          <w:rFonts w:ascii="Arial" w:hAnsi="Arial" w:cs="Arial"/>
          <w:b/>
          <w:sz w:val="24"/>
          <w:szCs w:val="24"/>
        </w:rPr>
        <w:t>measures and legislation.  This</w:t>
      </w:r>
      <w:r w:rsidRPr="00107F0E">
        <w:rPr>
          <w:rFonts w:ascii="Arial" w:hAnsi="Arial" w:cs="Arial"/>
          <w:b/>
          <w:sz w:val="24"/>
          <w:szCs w:val="24"/>
        </w:rPr>
        <w:t xml:space="preserve"> information should be then discussed with stakeholders which must include NGOs, communities and children and young people who will able to advise </w:t>
      </w:r>
      <w:proofErr w:type="spellStart"/>
      <w:r w:rsidRPr="00107F0E">
        <w:rPr>
          <w:rFonts w:ascii="Arial" w:hAnsi="Arial" w:cs="Arial"/>
          <w:b/>
          <w:sz w:val="24"/>
          <w:szCs w:val="24"/>
        </w:rPr>
        <w:t>DoJ</w:t>
      </w:r>
      <w:proofErr w:type="spellEnd"/>
      <w:r w:rsidRPr="00107F0E">
        <w:rPr>
          <w:rFonts w:ascii="Arial" w:hAnsi="Arial" w:cs="Arial"/>
          <w:b/>
          <w:sz w:val="24"/>
          <w:szCs w:val="24"/>
        </w:rPr>
        <w:t xml:space="preserve"> as to how to achieve the best a safe community where all respect the law and each other. </w:t>
      </w:r>
      <w:bookmarkStart w:id="0" w:name="_GoBack"/>
      <w:bookmarkEnd w:id="0"/>
    </w:p>
    <w:p w:rsidR="00107F0E" w:rsidRDefault="00107F0E" w:rsidP="00CF62E6">
      <w:pPr>
        <w:rPr>
          <w:rFonts w:ascii="Arial" w:hAnsi="Arial" w:cs="Arial"/>
          <w:sz w:val="24"/>
          <w:szCs w:val="24"/>
        </w:rPr>
      </w:pPr>
    </w:p>
    <w:p w:rsidR="00107F0E" w:rsidRPr="00107F0E" w:rsidRDefault="00785DE9" w:rsidP="00107F0E">
      <w:pPr>
        <w:jc w:val="right"/>
        <w:rPr>
          <w:rFonts w:ascii="Arial" w:hAnsi="Arial" w:cs="Arial"/>
          <w:b/>
          <w:sz w:val="24"/>
          <w:szCs w:val="24"/>
        </w:rPr>
      </w:pPr>
      <w:r>
        <w:rPr>
          <w:rFonts w:ascii="Arial" w:hAnsi="Arial" w:cs="Arial"/>
          <w:b/>
          <w:sz w:val="24"/>
          <w:szCs w:val="24"/>
        </w:rPr>
        <w:t>July 2018</w:t>
      </w:r>
      <w:r w:rsidR="00107F0E" w:rsidRPr="00107F0E">
        <w:rPr>
          <w:rFonts w:ascii="Arial" w:hAnsi="Arial" w:cs="Arial"/>
          <w:b/>
          <w:sz w:val="24"/>
          <w:szCs w:val="24"/>
        </w:rPr>
        <w:t xml:space="preserve"> </w:t>
      </w:r>
    </w:p>
    <w:sectPr w:rsidR="00107F0E" w:rsidRPr="00107F0E" w:rsidSect="00C75DEC">
      <w:headerReference w:type="default" r:id="rId8"/>
      <w:footerReference w:type="even" r:id="rId9"/>
      <w:footerReference w:type="default" r:id="rId10"/>
      <w:pgSz w:w="11900" w:h="16840"/>
      <w:pgMar w:top="2410"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4D" w:rsidRDefault="001C654D" w:rsidP="00280C3B">
      <w:r>
        <w:separator/>
      </w:r>
    </w:p>
  </w:endnote>
  <w:endnote w:type="continuationSeparator" w:id="0">
    <w:p w:rsidR="001C654D" w:rsidRDefault="001C654D"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1" w:rsidRDefault="002E6699" w:rsidP="006013F5">
    <w:pPr>
      <w:pStyle w:val="Footer"/>
      <w:framePr w:wrap="around" w:vAnchor="text" w:hAnchor="margin" w:xAlign="right" w:y="1"/>
      <w:rPr>
        <w:rStyle w:val="PageNumber"/>
      </w:rPr>
    </w:pPr>
    <w:r>
      <w:rPr>
        <w:rStyle w:val="PageNumber"/>
      </w:rPr>
      <w:fldChar w:fldCharType="begin"/>
    </w:r>
    <w:r w:rsidR="000C6C81">
      <w:rPr>
        <w:rStyle w:val="PageNumber"/>
      </w:rPr>
      <w:instrText xml:space="preserve">PAGE  </w:instrText>
    </w:r>
    <w:r>
      <w:rPr>
        <w:rStyle w:val="PageNumber"/>
      </w:rPr>
      <w:fldChar w:fldCharType="end"/>
    </w:r>
  </w:p>
  <w:p w:rsidR="000C6C81" w:rsidRDefault="000C6C81"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1" w:rsidRPr="008C32B9" w:rsidRDefault="002E6699"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0C6C81"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785DE9">
      <w:rPr>
        <w:rStyle w:val="PageNumber"/>
        <w:rFonts w:ascii="Arial" w:hAnsi="Arial" w:cs="Arial"/>
        <w:noProof/>
        <w:color w:val="414042"/>
        <w:sz w:val="16"/>
        <w:szCs w:val="16"/>
      </w:rPr>
      <w:t>5</w:t>
    </w:r>
    <w:r w:rsidRPr="008C32B9">
      <w:rPr>
        <w:rStyle w:val="PageNumber"/>
        <w:rFonts w:ascii="Arial" w:hAnsi="Arial" w:cs="Arial"/>
        <w:color w:val="414042"/>
        <w:sz w:val="16"/>
        <w:szCs w:val="16"/>
      </w:rPr>
      <w:fldChar w:fldCharType="end"/>
    </w:r>
  </w:p>
  <w:p w:rsidR="000C6C81" w:rsidRPr="008C32B9" w:rsidRDefault="000C6C81"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107F0E">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 cy="1367"/>
                      </a:xfrm>
                    </wpg:grpSpPr>
                    <wps:wsp>
                      <wps:cNvPr id="3" name="Rectangle 11"/>
                      <wps:cNvSpPr>
                        <a:spLocks noChangeArrowheads="1"/>
                      </wps:cNvSpPr>
                      <wps:spPr bwMode="auto">
                        <a:xfrm>
                          <a:off x="0" y="0"/>
                          <a:ext cx="17096" cy="1367"/>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4" name="Rectangle 12"/>
                      <wps:cNvSpPr>
                        <a:spLocks noChangeArrowheads="1"/>
                      </wps:cNvSpPr>
                      <wps:spPr bwMode="auto">
                        <a:xfrm>
                          <a:off x="17096" y="0"/>
                          <a:ext cx="17096" cy="1367"/>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5" name="Rectangle 13"/>
                      <wps:cNvSpPr>
                        <a:spLocks noChangeArrowheads="1"/>
                      </wps:cNvSpPr>
                      <wps:spPr bwMode="auto">
                        <a:xfrm>
                          <a:off x="34192" y="0"/>
                          <a:ext cx="17096" cy="1367"/>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6" name="Rectangle 14"/>
                      <wps:cNvSpPr>
                        <a:spLocks noChangeArrowheads="1"/>
                      </wps:cNvSpPr>
                      <wps:spPr bwMode="auto">
                        <a:xfrm>
                          <a:off x="51288" y="0"/>
                          <a:ext cx="17096" cy="1367"/>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7" name="Rectangle 15"/>
                      <wps:cNvSpPr>
                        <a:spLocks noChangeArrowheads="1"/>
                      </wps:cNvSpPr>
                      <wps:spPr bwMode="auto">
                        <a:xfrm>
                          <a:off x="68384" y="0"/>
                          <a:ext cx="17096" cy="1367"/>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" fillcolor="#23a4de" stroked="f">
                <v:textbox>
                  <w:txbxContent>
                    <w:p w:rsidR="000C6C81" w:rsidRDefault="000C6C81"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" fillcolor="#ec008c" stroked="f">
                <v:textbox>
                  <w:txbxContent>
                    <w:p w:rsidR="000C6C81" w:rsidRDefault="000C6C81"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5CxAAAANoAAAAPAAAAZHJzL2Rvd25yZXYueG1sRI9Pa8JA&#10;FMTvgt9heYXezEah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PvZjkLEAAAA2gAAAA8A&#10;AAAAAAAAAAAAAAAABwIAAGRycy9kb3ducmV2LnhtbFBLBQYAAAAAAwADALcAAAD4AgAAAAA=&#10;" fillcolor="#f57e20" stroked="f">
                <v:textbox>
                  <w:txbxContent>
                    <w:p w:rsidR="000C6C81" w:rsidRDefault="000C6C81"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" fillcolor="#72bf44" stroked="f">
                <v:textbox>
                  <w:txbxContent>
                    <w:p w:rsidR="000C6C81" w:rsidRDefault="000C6C81"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" fillcolor="#ed1c24" stroked="f">
                <v:textbox>
                  <w:txbxContent>
                    <w:p w:rsidR="000C6C81" w:rsidRDefault="000C6C81"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4D" w:rsidRDefault="001C654D" w:rsidP="00280C3B">
      <w:r>
        <w:separator/>
      </w:r>
    </w:p>
  </w:footnote>
  <w:footnote w:type="continuationSeparator" w:id="0">
    <w:p w:rsidR="001C654D" w:rsidRDefault="001C654D" w:rsidP="00280C3B">
      <w:r>
        <w:continuationSeparator/>
      </w:r>
    </w:p>
  </w:footnote>
  <w:footnote w:id="1">
    <w:p w:rsidR="0097245A" w:rsidRPr="00535107" w:rsidRDefault="0097245A" w:rsidP="0097245A">
      <w:pPr>
        <w:autoSpaceDE w:val="0"/>
        <w:autoSpaceDN w:val="0"/>
        <w:adjustRightInd w:val="0"/>
        <w:rPr>
          <w:rFonts w:ascii="Arial" w:hAnsi="Arial" w:cs="Arial"/>
          <w:color w:val="404040" w:themeColor="text1" w:themeTint="BF"/>
        </w:rPr>
      </w:pPr>
      <w:r w:rsidRPr="00535107">
        <w:rPr>
          <w:rStyle w:val="FootnoteReference"/>
          <w:rFonts w:ascii="Arial" w:hAnsi="Arial" w:cs="Arial"/>
          <w:color w:val="404040" w:themeColor="text1" w:themeTint="BF"/>
        </w:rPr>
        <w:footnoteRef/>
      </w:r>
      <w:r w:rsidRPr="00535107">
        <w:rPr>
          <w:rFonts w:ascii="Arial" w:hAnsi="Arial" w:cs="Arial"/>
          <w:color w:val="404040" w:themeColor="text1" w:themeTint="BF"/>
        </w:rPr>
        <w:t xml:space="preserve"> Paras 34, 35, 79 and 80  CRC/C/GBR/CO/4</w:t>
      </w:r>
    </w:p>
  </w:footnote>
  <w:footnote w:id="2">
    <w:p w:rsidR="0097245A" w:rsidRPr="00C95FBB" w:rsidRDefault="0097245A" w:rsidP="0097245A">
      <w:pPr>
        <w:pStyle w:val="FootnoteText"/>
        <w:rPr>
          <w:sz w:val="22"/>
          <w:szCs w:val="22"/>
        </w:rPr>
      </w:pPr>
      <w:r>
        <w:rPr>
          <w:rStyle w:val="FootnoteReference"/>
        </w:rPr>
        <w:footnoteRef/>
      </w:r>
      <w:r>
        <w:t xml:space="preserve"> </w:t>
      </w:r>
      <w:r w:rsidRPr="00C95FBB">
        <w:rPr>
          <w:rFonts w:ascii="Arial" w:hAnsi="Arial" w:cs="Arial"/>
          <w:bCs/>
          <w:sz w:val="22"/>
          <w:szCs w:val="22"/>
          <w:lang w:val="en"/>
        </w:rPr>
        <w:t xml:space="preserve">The Anti-social </w:t>
      </w:r>
      <w:proofErr w:type="spellStart"/>
      <w:r w:rsidRPr="00C95FBB">
        <w:rPr>
          <w:rFonts w:ascii="Arial" w:hAnsi="Arial" w:cs="Arial"/>
          <w:bCs/>
          <w:sz w:val="22"/>
          <w:szCs w:val="22"/>
          <w:lang w:val="en"/>
        </w:rPr>
        <w:t>Behaviour</w:t>
      </w:r>
      <w:proofErr w:type="spellEnd"/>
      <w:r w:rsidRPr="00C95FBB">
        <w:rPr>
          <w:rFonts w:ascii="Arial" w:hAnsi="Arial" w:cs="Arial"/>
          <w:bCs/>
          <w:sz w:val="22"/>
          <w:szCs w:val="22"/>
          <w:lang w:val="en"/>
        </w:rPr>
        <w:t xml:space="preserve"> (Northern Ireland) Order 2004</w:t>
      </w:r>
    </w:p>
  </w:footnote>
  <w:footnote w:id="3">
    <w:p w:rsidR="0097245A" w:rsidRPr="00107F0E" w:rsidRDefault="0097245A" w:rsidP="0097245A">
      <w:pPr>
        <w:pStyle w:val="FootnoteText"/>
        <w:rPr>
          <w:rFonts w:ascii="Arial" w:hAnsi="Arial" w:cs="Arial"/>
          <w:sz w:val="20"/>
          <w:szCs w:val="20"/>
        </w:rPr>
      </w:pPr>
      <w:r w:rsidRPr="00107F0E">
        <w:rPr>
          <w:rStyle w:val="FootnoteReference"/>
          <w:rFonts w:ascii="Arial" w:hAnsi="Arial" w:cs="Arial"/>
          <w:sz w:val="20"/>
          <w:szCs w:val="20"/>
        </w:rPr>
        <w:footnoteRef/>
      </w:r>
      <w:r w:rsidRPr="00107F0E">
        <w:rPr>
          <w:rFonts w:ascii="Arial" w:hAnsi="Arial" w:cs="Arial"/>
          <w:sz w:val="20"/>
          <w:szCs w:val="20"/>
        </w:rPr>
        <w:t xml:space="preserve"> </w:t>
      </w:r>
      <w:hyperlink r:id="rId1" w:history="1">
        <w:r w:rsidRPr="00107F0E">
          <w:rPr>
            <w:rStyle w:val="Hyperlink"/>
            <w:rFonts w:ascii="Arial" w:hAnsi="Arial" w:cs="Arial"/>
            <w:sz w:val="20"/>
            <w:szCs w:val="20"/>
          </w:rPr>
          <w:t>http://www.includeyouth.org/mgmt/resources/include-youth-asbo-submission-march-04.pdf</w:t>
        </w:r>
      </w:hyperlink>
    </w:p>
    <w:p w:rsidR="0097245A" w:rsidRPr="00D0258B" w:rsidRDefault="0097245A" w:rsidP="0097245A">
      <w:pPr>
        <w:spacing w:after="240"/>
      </w:pPr>
      <w:r w:rsidRPr="00107F0E">
        <w:rPr>
          <w:rFonts w:ascii="Arial" w:hAnsi="Arial" w:cs="Arial"/>
        </w:rPr>
        <w:t>Response by the Children’s Law Centre to “Measures to Tackle Anti-Social Behaviour in NI” 30</w:t>
      </w:r>
      <w:r w:rsidRPr="00107F0E">
        <w:rPr>
          <w:rFonts w:ascii="Arial" w:hAnsi="Arial" w:cs="Arial"/>
          <w:vertAlign w:val="superscript"/>
        </w:rPr>
        <w:t>th</w:t>
      </w:r>
      <w:r w:rsidRPr="00107F0E">
        <w:rPr>
          <w:rFonts w:ascii="Arial" w:hAnsi="Arial" w:cs="Arial"/>
        </w:rPr>
        <w:t xml:space="preserve"> March 2004.  Available from CLC</w:t>
      </w:r>
      <w:r>
        <w:t xml:space="preserve"> </w:t>
      </w:r>
    </w:p>
  </w:footnote>
  <w:footnote w:id="4">
    <w:p w:rsidR="0097245A" w:rsidRPr="00107F0E" w:rsidRDefault="0097245A" w:rsidP="0097245A">
      <w:pPr>
        <w:pStyle w:val="FootnoteText"/>
        <w:rPr>
          <w:rFonts w:ascii="Arial" w:hAnsi="Arial" w:cs="Arial"/>
          <w:sz w:val="20"/>
          <w:szCs w:val="20"/>
        </w:rPr>
      </w:pPr>
      <w:r>
        <w:rPr>
          <w:rStyle w:val="FootnoteReference"/>
        </w:rPr>
        <w:footnoteRef/>
      </w:r>
      <w:r>
        <w:t xml:space="preserve"> </w:t>
      </w:r>
      <w:hyperlink r:id="rId2" w:history="1">
        <w:r w:rsidRPr="00107F0E">
          <w:rPr>
            <w:rStyle w:val="Hyperlink"/>
            <w:rFonts w:ascii="Arial" w:hAnsi="Arial" w:cs="Arial"/>
            <w:sz w:val="20"/>
            <w:szCs w:val="20"/>
          </w:rPr>
          <w:t>https://www.legislation.gov.uk/nia/2015/9/section/98</w:t>
        </w:r>
      </w:hyperlink>
      <w:r w:rsidRPr="00107F0E">
        <w:rPr>
          <w:rFonts w:ascii="Arial" w:hAnsi="Arial" w:cs="Arial"/>
          <w:sz w:val="20"/>
          <w:szCs w:val="20"/>
        </w:rPr>
        <w:t xml:space="preserve"> </w:t>
      </w:r>
    </w:p>
  </w:footnote>
  <w:footnote w:id="5">
    <w:p w:rsidR="0097245A" w:rsidRDefault="0097245A" w:rsidP="0097245A">
      <w:pPr>
        <w:pStyle w:val="FootnoteText"/>
      </w:pPr>
      <w:r w:rsidRPr="00107F0E">
        <w:rPr>
          <w:rStyle w:val="FootnoteReference"/>
          <w:rFonts w:ascii="Arial" w:hAnsi="Arial" w:cs="Arial"/>
          <w:sz w:val="20"/>
          <w:szCs w:val="20"/>
        </w:rPr>
        <w:footnoteRef/>
      </w:r>
      <w:r w:rsidRPr="00107F0E">
        <w:rPr>
          <w:rFonts w:ascii="Arial" w:hAnsi="Arial" w:cs="Arial"/>
          <w:sz w:val="20"/>
          <w:szCs w:val="20"/>
        </w:rPr>
        <w:t xml:space="preserve"> </w:t>
      </w:r>
      <w:hyperlink r:id="rId3" w:history="1">
        <w:r w:rsidRPr="00107F0E">
          <w:rPr>
            <w:rStyle w:val="Hyperlink"/>
            <w:rFonts w:ascii="Arial" w:hAnsi="Arial" w:cs="Arial"/>
            <w:sz w:val="20"/>
            <w:szCs w:val="20"/>
          </w:rPr>
          <w:t>https://www.northernireland.gov.uk/articles/executive-programme-tackling-paramilitary-activity-and-organised-crime-0</w:t>
        </w:r>
      </w:hyperlink>
      <w:r>
        <w:t xml:space="preserve"> </w:t>
      </w:r>
    </w:p>
  </w:footnote>
  <w:footnote w:id="6">
    <w:p w:rsidR="0097245A" w:rsidRPr="00107F0E" w:rsidRDefault="0097245A" w:rsidP="0097245A">
      <w:pPr>
        <w:pStyle w:val="FootnoteText"/>
        <w:rPr>
          <w:rFonts w:ascii="Arial" w:hAnsi="Arial" w:cs="Arial"/>
          <w:color w:val="404040" w:themeColor="text1" w:themeTint="BF"/>
          <w:sz w:val="20"/>
          <w:szCs w:val="20"/>
        </w:rPr>
      </w:pPr>
      <w:r w:rsidRPr="0026613C">
        <w:rPr>
          <w:rStyle w:val="FootnoteReference"/>
          <w:rFonts w:cs="Arial"/>
          <w:color w:val="404040" w:themeColor="text1" w:themeTint="BF"/>
        </w:rPr>
        <w:footnoteRef/>
      </w:r>
      <w:r w:rsidRPr="0026613C">
        <w:rPr>
          <w:rFonts w:cs="Arial"/>
          <w:color w:val="404040" w:themeColor="text1" w:themeTint="BF"/>
        </w:rPr>
        <w:t xml:space="preserve"> </w:t>
      </w:r>
      <w:r w:rsidRPr="00107F0E">
        <w:rPr>
          <w:rFonts w:ascii="Arial" w:hAnsi="Arial" w:cs="Arial"/>
          <w:color w:val="404040" w:themeColor="text1" w:themeTint="BF"/>
          <w:sz w:val="20"/>
          <w:szCs w:val="20"/>
        </w:rPr>
        <w:t>April 2010.</w:t>
      </w:r>
    </w:p>
  </w:footnote>
  <w:footnote w:id="7">
    <w:p w:rsidR="0097245A" w:rsidRPr="00107F0E" w:rsidRDefault="0097245A" w:rsidP="0097245A">
      <w:pPr>
        <w:pStyle w:val="FootnoteText"/>
        <w:rPr>
          <w:rFonts w:ascii="Arial" w:hAnsi="Arial" w:cs="Arial"/>
          <w:color w:val="404040" w:themeColor="text1" w:themeTint="BF"/>
          <w:sz w:val="20"/>
          <w:szCs w:val="20"/>
        </w:rPr>
      </w:pPr>
      <w:r w:rsidRPr="00107F0E">
        <w:rPr>
          <w:rStyle w:val="FootnoteReference"/>
          <w:rFonts w:ascii="Arial" w:hAnsi="Arial" w:cs="Arial"/>
          <w:color w:val="404040" w:themeColor="text1" w:themeTint="BF"/>
          <w:sz w:val="20"/>
          <w:szCs w:val="20"/>
        </w:rPr>
        <w:footnoteRef/>
      </w:r>
      <w:r w:rsidRPr="00107F0E">
        <w:rPr>
          <w:rFonts w:ascii="Arial" w:hAnsi="Arial" w:cs="Arial"/>
          <w:i/>
          <w:color w:val="404040" w:themeColor="text1" w:themeTint="BF"/>
          <w:sz w:val="20"/>
          <w:szCs w:val="20"/>
        </w:rPr>
        <w:t xml:space="preserve">, </w:t>
      </w:r>
      <w:r w:rsidRPr="00107F0E">
        <w:rPr>
          <w:rFonts w:ascii="Arial" w:hAnsi="Arial" w:cs="Arial"/>
          <w:color w:val="404040" w:themeColor="text1" w:themeTint="BF"/>
          <w:sz w:val="20"/>
          <w:szCs w:val="20"/>
        </w:rPr>
        <w:t>Pg. 13.</w:t>
      </w:r>
    </w:p>
  </w:footnote>
  <w:footnote w:id="8">
    <w:p w:rsidR="0097245A" w:rsidRPr="00107F0E" w:rsidRDefault="0097245A" w:rsidP="0097245A">
      <w:pPr>
        <w:pStyle w:val="FootnoteText"/>
        <w:rPr>
          <w:rFonts w:ascii="Arial" w:hAnsi="Arial" w:cs="Arial"/>
          <w:color w:val="404040" w:themeColor="text1" w:themeTint="BF"/>
          <w:sz w:val="20"/>
          <w:szCs w:val="20"/>
        </w:rPr>
      </w:pPr>
      <w:r w:rsidRPr="00107F0E">
        <w:rPr>
          <w:rStyle w:val="FootnoteReference"/>
          <w:rFonts w:ascii="Arial" w:hAnsi="Arial" w:cs="Arial"/>
          <w:color w:val="404040" w:themeColor="text1" w:themeTint="BF"/>
          <w:sz w:val="20"/>
          <w:szCs w:val="20"/>
        </w:rPr>
        <w:footnoteRef/>
      </w:r>
      <w:r w:rsidRPr="00107F0E">
        <w:rPr>
          <w:rFonts w:ascii="Arial" w:hAnsi="Arial" w:cs="Arial"/>
          <w:color w:val="404040" w:themeColor="text1" w:themeTint="BF"/>
          <w:sz w:val="20"/>
          <w:szCs w:val="20"/>
        </w:rPr>
        <w:t xml:space="preserve"> Para 4.19, July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53"/>
      <w:gridCol w:w="4821"/>
    </w:tblGrid>
    <w:tr w:rsidR="000C6C81" w:rsidTr="000D52AB">
      <w:tc>
        <w:tcPr>
          <w:tcW w:w="5027" w:type="dxa"/>
          <w:shd w:val="clear" w:color="auto" w:fill="auto"/>
        </w:tcPr>
        <w:p w:rsidR="000C6C81" w:rsidRPr="000C6C81" w:rsidRDefault="000C6C81" w:rsidP="000C6C81">
          <w:pPr>
            <w:pStyle w:val="NICCYHeading"/>
            <w:rPr>
              <w:rFonts w:ascii="Futura Book" w:hAnsi="Futura Book"/>
            </w:rPr>
          </w:pPr>
        </w:p>
      </w:tc>
      <w:tc>
        <w:tcPr>
          <w:tcW w:w="4855" w:type="dxa"/>
          <w:shd w:val="clear" w:color="auto" w:fill="auto"/>
        </w:tcPr>
        <w:p w:rsidR="000C6C81" w:rsidRDefault="000C6C81" w:rsidP="000D52AB">
          <w:pPr>
            <w:pStyle w:val="CompanyName"/>
            <w:rPr>
              <w:rFonts w:ascii="Futura Book" w:hAnsi="Futura Book" w:cs="Arial"/>
              <w:lang w:val="en-GB"/>
            </w:rP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1403985</wp:posOffset>
                </wp:positionH>
                <wp:positionV relativeFrom="paragraph">
                  <wp:posOffset>90805</wp:posOffset>
                </wp:positionV>
                <wp:extent cx="1536700" cy="635000"/>
                <wp:effectExtent l="19050" t="0" r="6350" b="0"/>
                <wp:wrapTight wrapText="bothSides">
                  <wp:wrapPolygon edited="0">
                    <wp:start x="-268" y="648"/>
                    <wp:lineTo x="-268" y="20736"/>
                    <wp:lineTo x="20083" y="20736"/>
                    <wp:lineTo x="20083" y="11016"/>
                    <wp:lineTo x="21689" y="1296"/>
                    <wp:lineTo x="21689" y="648"/>
                    <wp:lineTo x="-268" y="64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tc>
    </w:tr>
  </w:tbl>
  <w:p w:rsidR="000C6C81" w:rsidRDefault="000C6C81">
    <w:pPr>
      <w:pStyle w:val="Header"/>
    </w:pPr>
  </w:p>
  <w:p w:rsidR="000C6C81" w:rsidRDefault="000C6C81">
    <w:pPr>
      <w:pStyle w:val="Header"/>
    </w:pPr>
    <w:r>
      <w:rPr>
        <w:rFonts w:ascii="Arial" w:hAnsi="Arial" w:cs="Arial"/>
        <w:b/>
        <w:bCs/>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A3F"/>
    <w:multiLevelType w:val="hybridMultilevel"/>
    <w:tmpl w:val="0B424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3F4A21"/>
    <w:multiLevelType w:val="hybridMultilevel"/>
    <w:tmpl w:val="0C7C2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D6444"/>
    <w:multiLevelType w:val="hybridMultilevel"/>
    <w:tmpl w:val="801C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00430"/>
    <w:multiLevelType w:val="hybridMultilevel"/>
    <w:tmpl w:val="C1D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3452D"/>
    <w:multiLevelType w:val="hybridMultilevel"/>
    <w:tmpl w:val="126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91093"/>
    <w:multiLevelType w:val="hybridMultilevel"/>
    <w:tmpl w:val="2F5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31B7D"/>
    <w:multiLevelType w:val="hybridMultilevel"/>
    <w:tmpl w:val="DCFEAF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8604F"/>
    <w:multiLevelType w:val="multilevel"/>
    <w:tmpl w:val="0C5ED346"/>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7D13B88"/>
    <w:multiLevelType w:val="hybridMultilevel"/>
    <w:tmpl w:val="0E4CCB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190A27"/>
    <w:multiLevelType w:val="hybridMultilevel"/>
    <w:tmpl w:val="57E0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756BC"/>
    <w:multiLevelType w:val="hybridMultilevel"/>
    <w:tmpl w:val="4EBE3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004296"/>
    <w:multiLevelType w:val="hybridMultilevel"/>
    <w:tmpl w:val="783C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A39EA"/>
    <w:multiLevelType w:val="hybridMultilevel"/>
    <w:tmpl w:val="F5BE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038E0"/>
    <w:multiLevelType w:val="hybridMultilevel"/>
    <w:tmpl w:val="38463A38"/>
    <w:lvl w:ilvl="0" w:tplc="08090001">
      <w:start w:val="1"/>
      <w:numFmt w:val="bullet"/>
      <w:lvlText w:val=""/>
      <w:lvlJc w:val="left"/>
      <w:pPr>
        <w:ind w:left="731" w:hanging="360"/>
      </w:pPr>
      <w:rPr>
        <w:rFonts w:ascii="Symbol" w:hAnsi="Symbol" w:hint="default"/>
      </w:rPr>
    </w:lvl>
    <w:lvl w:ilvl="1" w:tplc="08090001">
      <w:start w:val="1"/>
      <w:numFmt w:val="bullet"/>
      <w:lvlText w:val=""/>
      <w:lvlJc w:val="left"/>
      <w:pPr>
        <w:ind w:left="1451" w:hanging="360"/>
      </w:pPr>
      <w:rPr>
        <w:rFonts w:ascii="Symbol" w:hAnsi="Symbo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402A3BDA"/>
    <w:multiLevelType w:val="hybridMultilevel"/>
    <w:tmpl w:val="DF50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77440A"/>
    <w:multiLevelType w:val="hybridMultilevel"/>
    <w:tmpl w:val="B692A72C"/>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608CC"/>
    <w:multiLevelType w:val="hybridMultilevel"/>
    <w:tmpl w:val="DE4E0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5456E"/>
    <w:multiLevelType w:val="hybridMultilevel"/>
    <w:tmpl w:val="806E7A20"/>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06EE6"/>
    <w:multiLevelType w:val="hybridMultilevel"/>
    <w:tmpl w:val="BFA80902"/>
    <w:lvl w:ilvl="0" w:tplc="FF4CD3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024AA"/>
    <w:multiLevelType w:val="hybridMultilevel"/>
    <w:tmpl w:val="89981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A026C80"/>
    <w:multiLevelType w:val="hybridMultilevel"/>
    <w:tmpl w:val="71FEC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80CE2"/>
    <w:multiLevelType w:val="hybridMultilevel"/>
    <w:tmpl w:val="CD62B6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A401A"/>
    <w:multiLevelType w:val="multilevel"/>
    <w:tmpl w:val="ABDEE18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820692"/>
    <w:multiLevelType w:val="hybridMultilevel"/>
    <w:tmpl w:val="9C96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A57AC"/>
    <w:multiLevelType w:val="hybridMultilevel"/>
    <w:tmpl w:val="3F92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A5331"/>
    <w:multiLevelType w:val="hybridMultilevel"/>
    <w:tmpl w:val="87621B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92170D"/>
    <w:multiLevelType w:val="hybridMultilevel"/>
    <w:tmpl w:val="187A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F5C0F"/>
    <w:multiLevelType w:val="multilevel"/>
    <w:tmpl w:val="0809001D"/>
    <w:lvl w:ilvl="0">
      <w:start w:val="1"/>
      <w:numFmt w:val="decimal"/>
      <w:pStyle w:val="List3"/>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76C19C4"/>
    <w:multiLevelType w:val="hybridMultilevel"/>
    <w:tmpl w:val="2E8A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6441A"/>
    <w:multiLevelType w:val="hybridMultilevel"/>
    <w:tmpl w:val="BFF8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7B2188"/>
    <w:multiLevelType w:val="hybridMultilevel"/>
    <w:tmpl w:val="13B4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64D25"/>
    <w:multiLevelType w:val="hybridMultilevel"/>
    <w:tmpl w:val="95043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056807"/>
    <w:multiLevelType w:val="hybridMultilevel"/>
    <w:tmpl w:val="1B329954"/>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E37ED5"/>
    <w:multiLevelType w:val="hybridMultilevel"/>
    <w:tmpl w:val="1312E1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655D06"/>
    <w:multiLevelType w:val="hybridMultilevel"/>
    <w:tmpl w:val="09EABB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9" w15:restartNumberingAfterBreak="0">
    <w:nsid w:val="6CCB68D6"/>
    <w:multiLevelType w:val="hybridMultilevel"/>
    <w:tmpl w:val="62E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25BB9"/>
    <w:multiLevelType w:val="hybridMultilevel"/>
    <w:tmpl w:val="3A5E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822E5"/>
    <w:multiLevelType w:val="hybridMultilevel"/>
    <w:tmpl w:val="B8C2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73258"/>
    <w:multiLevelType w:val="hybridMultilevel"/>
    <w:tmpl w:val="470ABB0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42"/>
  </w:num>
  <w:num w:numId="2">
    <w:abstractNumId w:val="2"/>
  </w:num>
  <w:num w:numId="3">
    <w:abstractNumId w:val="8"/>
  </w:num>
  <w:num w:numId="4">
    <w:abstractNumId w:val="28"/>
  </w:num>
  <w:num w:numId="5">
    <w:abstractNumId w:val="19"/>
  </w:num>
  <w:num w:numId="6">
    <w:abstractNumId w:val="32"/>
  </w:num>
  <w:num w:numId="7">
    <w:abstractNumId w:val="20"/>
  </w:num>
  <w:num w:numId="8">
    <w:abstractNumId w:val="17"/>
  </w:num>
  <w:num w:numId="9">
    <w:abstractNumId w:val="36"/>
  </w:num>
  <w:num w:numId="10">
    <w:abstractNumId w:val="21"/>
  </w:num>
  <w:num w:numId="11">
    <w:abstractNumId w:val="7"/>
  </w:num>
  <w:num w:numId="12">
    <w:abstractNumId w:val="18"/>
  </w:num>
  <w:num w:numId="13">
    <w:abstractNumId w:val="16"/>
  </w:num>
  <w:num w:numId="14">
    <w:abstractNumId w:val="1"/>
  </w:num>
  <w:num w:numId="15">
    <w:abstractNumId w:val="11"/>
  </w:num>
  <w:num w:numId="16">
    <w:abstractNumId w:val="26"/>
  </w:num>
  <w:num w:numId="17">
    <w:abstractNumId w:val="33"/>
  </w:num>
  <w:num w:numId="18">
    <w:abstractNumId w:val="14"/>
  </w:num>
  <w:num w:numId="19">
    <w:abstractNumId w:val="40"/>
  </w:num>
  <w:num w:numId="20">
    <w:abstractNumId w:val="43"/>
  </w:num>
  <w:num w:numId="21">
    <w:abstractNumId w:val="38"/>
  </w:num>
  <w:num w:numId="22">
    <w:abstractNumId w:val="3"/>
  </w:num>
  <w:num w:numId="23">
    <w:abstractNumId w:val="39"/>
  </w:num>
  <w:num w:numId="24">
    <w:abstractNumId w:val="4"/>
  </w:num>
  <w:num w:numId="25">
    <w:abstractNumId w:val="27"/>
  </w:num>
  <w:num w:numId="26">
    <w:abstractNumId w:val="35"/>
  </w:num>
  <w:num w:numId="27">
    <w:abstractNumId w:val="12"/>
  </w:num>
  <w:num w:numId="28">
    <w:abstractNumId w:val="0"/>
  </w:num>
  <w:num w:numId="29">
    <w:abstractNumId w:val="37"/>
  </w:num>
  <w:num w:numId="30">
    <w:abstractNumId w:val="24"/>
  </w:num>
  <w:num w:numId="31">
    <w:abstractNumId w:val="10"/>
  </w:num>
  <w:num w:numId="32">
    <w:abstractNumId w:val="29"/>
  </w:num>
  <w:num w:numId="33">
    <w:abstractNumId w:val="23"/>
  </w:num>
  <w:num w:numId="34">
    <w:abstractNumId w:val="6"/>
  </w:num>
  <w:num w:numId="35">
    <w:abstractNumId w:val="34"/>
  </w:num>
  <w:num w:numId="36">
    <w:abstractNumId w:val="13"/>
  </w:num>
  <w:num w:numId="37">
    <w:abstractNumId w:val="5"/>
  </w:num>
  <w:num w:numId="38">
    <w:abstractNumId w:val="31"/>
    <w:lvlOverride w:ilvl="0">
      <w:lvl w:ilvl="0">
        <w:start w:val="1"/>
        <w:numFmt w:val="decimal"/>
        <w:pStyle w:val="List3"/>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15"/>
  </w:num>
  <w:num w:numId="40">
    <w:abstractNumId w:val="25"/>
  </w:num>
  <w:num w:numId="41">
    <w:abstractNumId w:val="9"/>
  </w:num>
  <w:num w:numId="42">
    <w:abstractNumId w:val="41"/>
  </w:num>
  <w:num w:numId="43">
    <w:abstractNumId w:val="3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C3AD9"/>
    <w:rsid w:val="000C6C81"/>
    <w:rsid w:val="000D52AB"/>
    <w:rsid w:val="00107F0E"/>
    <w:rsid w:val="00181897"/>
    <w:rsid w:val="0018447B"/>
    <w:rsid w:val="001936E2"/>
    <w:rsid w:val="00194555"/>
    <w:rsid w:val="001C64C5"/>
    <w:rsid w:val="001C654D"/>
    <w:rsid w:val="001D40FE"/>
    <w:rsid w:val="002178D7"/>
    <w:rsid w:val="002217BE"/>
    <w:rsid w:val="00241A07"/>
    <w:rsid w:val="00245870"/>
    <w:rsid w:val="002729D6"/>
    <w:rsid w:val="00280C3B"/>
    <w:rsid w:val="002C7A3B"/>
    <w:rsid w:val="002E6699"/>
    <w:rsid w:val="002F04EE"/>
    <w:rsid w:val="0035265E"/>
    <w:rsid w:val="003F5501"/>
    <w:rsid w:val="00432B30"/>
    <w:rsid w:val="004417CD"/>
    <w:rsid w:val="00451456"/>
    <w:rsid w:val="004C026E"/>
    <w:rsid w:val="004D3B27"/>
    <w:rsid w:val="0050043B"/>
    <w:rsid w:val="0051178C"/>
    <w:rsid w:val="00564A69"/>
    <w:rsid w:val="00597B67"/>
    <w:rsid w:val="005A1D81"/>
    <w:rsid w:val="005C425F"/>
    <w:rsid w:val="005E1541"/>
    <w:rsid w:val="006013F5"/>
    <w:rsid w:val="0060612C"/>
    <w:rsid w:val="00622363"/>
    <w:rsid w:val="00630FB1"/>
    <w:rsid w:val="006C2566"/>
    <w:rsid w:val="00727D62"/>
    <w:rsid w:val="00760F47"/>
    <w:rsid w:val="00785DE9"/>
    <w:rsid w:val="00791E93"/>
    <w:rsid w:val="00795FEB"/>
    <w:rsid w:val="007A5E2D"/>
    <w:rsid w:val="007D2B9E"/>
    <w:rsid w:val="00831BDB"/>
    <w:rsid w:val="00873EBD"/>
    <w:rsid w:val="008A31A5"/>
    <w:rsid w:val="008A32FE"/>
    <w:rsid w:val="008C32B9"/>
    <w:rsid w:val="008D39A0"/>
    <w:rsid w:val="008E3945"/>
    <w:rsid w:val="009108C4"/>
    <w:rsid w:val="009405BC"/>
    <w:rsid w:val="00962CFC"/>
    <w:rsid w:val="009675A2"/>
    <w:rsid w:val="0097245A"/>
    <w:rsid w:val="00982039"/>
    <w:rsid w:val="009A5DED"/>
    <w:rsid w:val="009C394B"/>
    <w:rsid w:val="009E095A"/>
    <w:rsid w:val="009E6D40"/>
    <w:rsid w:val="009F2391"/>
    <w:rsid w:val="00A03AF5"/>
    <w:rsid w:val="00A13398"/>
    <w:rsid w:val="00A171FF"/>
    <w:rsid w:val="00A475FF"/>
    <w:rsid w:val="00A53D00"/>
    <w:rsid w:val="00A87A72"/>
    <w:rsid w:val="00AB5744"/>
    <w:rsid w:val="00AC6036"/>
    <w:rsid w:val="00B75E8B"/>
    <w:rsid w:val="00BB603F"/>
    <w:rsid w:val="00BE0052"/>
    <w:rsid w:val="00C048A1"/>
    <w:rsid w:val="00C06BD6"/>
    <w:rsid w:val="00C749C1"/>
    <w:rsid w:val="00C75DEC"/>
    <w:rsid w:val="00CF1990"/>
    <w:rsid w:val="00CF62E6"/>
    <w:rsid w:val="00D60DE1"/>
    <w:rsid w:val="00D81956"/>
    <w:rsid w:val="00D94E0A"/>
    <w:rsid w:val="00DB7E5C"/>
    <w:rsid w:val="00DF20BC"/>
    <w:rsid w:val="00E03CDC"/>
    <w:rsid w:val="00E5005A"/>
    <w:rsid w:val="00E760EA"/>
    <w:rsid w:val="00E852FA"/>
    <w:rsid w:val="00EA55B7"/>
    <w:rsid w:val="00EE4627"/>
    <w:rsid w:val="00EE662A"/>
    <w:rsid w:val="00EE7908"/>
    <w:rsid w:val="00EF62E7"/>
    <w:rsid w:val="00F16BDD"/>
    <w:rsid w:val="00F76E12"/>
    <w:rsid w:val="00FC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A737D"/>
  <w15:docId w15:val="{CDDE24AA-2EE3-4041-B198-70119A8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0C6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1C6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64C5"/>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paragraph" w:customStyle="1" w:styleId="NICCYSubLine0">
    <w:name w:val="NICCY Sub Line"/>
    <w:basedOn w:val="BasicParagraph"/>
    <w:link w:val="NICCYSubLineChar0"/>
    <w:qFormat/>
    <w:rsid w:val="0035265E"/>
    <w:rPr>
      <w:rFonts w:ascii="Arial" w:hAnsi="Arial" w:cs="Arial"/>
      <w:b/>
      <w:color w:val="72BF44"/>
    </w:rPr>
  </w:style>
  <w:style w:type="character" w:customStyle="1" w:styleId="NICCYSubLineChar0">
    <w:name w:val="NICCY Sub Line Char"/>
    <w:basedOn w:val="BasicParagraphChar"/>
    <w:link w:val="NICCYSubLine0"/>
    <w:rsid w:val="0035265E"/>
    <w:rPr>
      <w:rFonts w:ascii="Arial" w:hAnsi="Arial" w:cs="Arial"/>
      <w:b/>
      <w:color w:val="72BF44"/>
      <w:lang w:val="en-GB"/>
    </w:rPr>
  </w:style>
  <w:style w:type="character" w:customStyle="1" w:styleId="Heading1Char">
    <w:name w:val="Heading 1 Char"/>
    <w:basedOn w:val="DefaultParagraphFont"/>
    <w:link w:val="Heading1"/>
    <w:uiPriority w:val="9"/>
    <w:rsid w:val="000C6C81"/>
    <w:rPr>
      <w:rFonts w:asciiTheme="majorHAnsi" w:eastAsiaTheme="majorEastAsia" w:hAnsiTheme="majorHAnsi" w:cstheme="majorBidi"/>
      <w:b/>
      <w:bCs/>
      <w:color w:val="365F91" w:themeColor="accent1" w:themeShade="BF"/>
      <w:sz w:val="28"/>
      <w:szCs w:val="28"/>
      <w:lang w:val="en-GB"/>
    </w:rPr>
  </w:style>
  <w:style w:type="paragraph" w:styleId="BodyText3">
    <w:name w:val="Body Text 3"/>
    <w:basedOn w:val="Normal"/>
    <w:link w:val="BodyText3Char"/>
    <w:uiPriority w:val="99"/>
    <w:semiHidden/>
    <w:unhideWhenUsed/>
    <w:rsid w:val="000C6C81"/>
    <w:pPr>
      <w:spacing w:after="120"/>
    </w:pPr>
    <w:rPr>
      <w:sz w:val="16"/>
      <w:szCs w:val="16"/>
    </w:rPr>
  </w:style>
  <w:style w:type="character" w:customStyle="1" w:styleId="BodyText3Char">
    <w:name w:val="Body Text 3 Char"/>
    <w:basedOn w:val="DefaultParagraphFont"/>
    <w:link w:val="BodyText3"/>
    <w:uiPriority w:val="99"/>
    <w:semiHidden/>
    <w:rsid w:val="000C6C81"/>
    <w:rPr>
      <w:rFonts w:ascii="Times New Roman" w:eastAsia="Times New Roman" w:hAnsi="Times New Roman" w:cs="Times New Roman"/>
      <w:sz w:val="16"/>
      <w:szCs w:val="16"/>
      <w:lang w:val="en-GB"/>
    </w:rPr>
  </w:style>
  <w:style w:type="paragraph" w:styleId="BodyText2">
    <w:name w:val="Body Text 2"/>
    <w:basedOn w:val="Normal"/>
    <w:link w:val="BodyText2Char"/>
    <w:uiPriority w:val="99"/>
    <w:rsid w:val="000C6C81"/>
    <w:pPr>
      <w:spacing w:after="120" w:line="480" w:lineRule="auto"/>
    </w:pPr>
    <w:rPr>
      <w:sz w:val="24"/>
      <w:szCs w:val="24"/>
    </w:rPr>
  </w:style>
  <w:style w:type="character" w:customStyle="1" w:styleId="BodyText2Char">
    <w:name w:val="Body Text 2 Char"/>
    <w:basedOn w:val="DefaultParagraphFont"/>
    <w:link w:val="BodyText2"/>
    <w:uiPriority w:val="99"/>
    <w:rsid w:val="000C6C81"/>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semiHidden/>
    <w:rsid w:val="001C64C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1C64C5"/>
    <w:rPr>
      <w:rFonts w:asciiTheme="majorHAnsi" w:eastAsiaTheme="majorEastAsia" w:hAnsiTheme="majorHAnsi" w:cstheme="majorBidi"/>
      <w:b/>
      <w:bCs/>
      <w:color w:val="4F81BD" w:themeColor="accent1"/>
      <w:sz w:val="20"/>
      <w:szCs w:val="20"/>
      <w:lang w:val="en-GB"/>
    </w:rPr>
  </w:style>
  <w:style w:type="paragraph" w:styleId="List3">
    <w:name w:val="List 3"/>
    <w:basedOn w:val="Normal"/>
    <w:rsid w:val="001C64C5"/>
    <w:pPr>
      <w:numPr>
        <w:numId w:val="38"/>
      </w:numPr>
    </w:pPr>
    <w:rPr>
      <w:rFonts w:ascii="Arial" w:hAnsi="Arial"/>
      <w:sz w:val="24"/>
    </w:rPr>
  </w:style>
  <w:style w:type="character" w:customStyle="1" w:styleId="legds">
    <w:name w:val="legds"/>
    <w:basedOn w:val="DefaultParagraphFont"/>
    <w:rsid w:val="0097245A"/>
  </w:style>
  <w:style w:type="paragraph" w:customStyle="1" w:styleId="Char2">
    <w:name w:val="Char2"/>
    <w:basedOn w:val="Normal"/>
    <w:link w:val="FootnoteReference"/>
    <w:uiPriority w:val="99"/>
    <w:rsid w:val="0097245A"/>
    <w:pPr>
      <w:spacing w:after="160" w:line="240" w:lineRule="exact"/>
      <w:jc w:val="both"/>
    </w:pPr>
    <w:rPr>
      <w:rFonts w:asciiTheme="minorHAnsi" w:eastAsiaTheme="minorEastAsia" w:hAnsiTheme="minorHAnsi" w:cstheme="minorBidi"/>
      <w:sz w:val="24"/>
      <w:szCs w:val="24"/>
      <w:vertAlign w:val="superscript"/>
      <w:lang w:val="en-US"/>
    </w:rPr>
  </w:style>
  <w:style w:type="paragraph" w:customStyle="1" w:styleId="legclearfix2">
    <w:name w:val="legclearfix2"/>
    <w:basedOn w:val="Normal"/>
    <w:rsid w:val="0097245A"/>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97245A"/>
    <w:rPr>
      <w:vanish w:val="0"/>
      <w:webHidden w:val="0"/>
      <w:specVanish w:val="0"/>
    </w:rPr>
  </w:style>
  <w:style w:type="character" w:styleId="Hyperlink">
    <w:name w:val="Hyperlink"/>
    <w:basedOn w:val="DefaultParagraphFont"/>
    <w:uiPriority w:val="99"/>
    <w:unhideWhenUsed/>
    <w:rsid w:val="0097245A"/>
    <w:rPr>
      <w:color w:val="0000FF" w:themeColor="hyperlink"/>
      <w:u w:val="single"/>
    </w:rPr>
  </w:style>
  <w:style w:type="paragraph" w:customStyle="1" w:styleId="legp2paratext">
    <w:name w:val="legp2paratext"/>
    <w:basedOn w:val="Normal"/>
    <w:rsid w:val="0097245A"/>
    <w:pPr>
      <w:spacing w:before="100" w:beforeAutospacing="1" w:after="100" w:afterAutospacing="1"/>
    </w:pPr>
    <w:rPr>
      <w:sz w:val="24"/>
      <w:szCs w:val="24"/>
      <w:lang w:eastAsia="en-GB"/>
    </w:rPr>
  </w:style>
  <w:style w:type="character" w:customStyle="1" w:styleId="legamendingtext">
    <w:name w:val="legamendingtext"/>
    <w:basedOn w:val="DefaultParagraphFont"/>
    <w:rsid w:val="0097245A"/>
  </w:style>
  <w:style w:type="character" w:customStyle="1" w:styleId="legamendquote">
    <w:name w:val="legamendquote"/>
    <w:basedOn w:val="DefaultParagraphFont"/>
    <w:rsid w:val="0097245A"/>
  </w:style>
  <w:style w:type="paragraph" w:customStyle="1" w:styleId="legclearfix">
    <w:name w:val="legclearfix"/>
    <w:basedOn w:val="Normal"/>
    <w:rsid w:val="0097245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orthernireland.gov.uk/articles/executive-programme-tackling-paramilitary-activity-and-organised-crime-0" TargetMode="External"/><Relationship Id="rId2" Type="http://schemas.openxmlformats.org/officeDocument/2006/relationships/hyperlink" Target="https://www.legislation.gov.uk/nia/2015/9/section/98" TargetMode="External"/><Relationship Id="rId1" Type="http://schemas.openxmlformats.org/officeDocument/2006/relationships/hyperlink" Target="http://www.includeyouth.org/mgmt/resources/include-youth-asbo-submission-march-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7FC0-799E-46A4-9752-137EDC68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Andrew McGall</cp:lastModifiedBy>
  <cp:revision>3</cp:revision>
  <cp:lastPrinted>2017-09-29T07:53:00Z</cp:lastPrinted>
  <dcterms:created xsi:type="dcterms:W3CDTF">2018-07-23T08:33:00Z</dcterms:created>
  <dcterms:modified xsi:type="dcterms:W3CDTF">2018-07-24T15:59:00Z</dcterms:modified>
</cp:coreProperties>
</file>